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rPr>
          <w:rFonts w:cs="Arial" w:asciiTheme="minorEastAsia" w:hAnsiTheme="minorEastAsia"/>
          <w:b/>
          <w:kern w:val="0"/>
          <w:sz w:val="40"/>
          <w:szCs w:val="40"/>
        </w:rPr>
      </w:pPr>
      <w:r>
        <w:rPr>
          <w:rFonts w:cs="Arial" w:asciiTheme="minorEastAsia" w:hAnsiTheme="minorEastAsia"/>
          <w:b/>
          <w:kern w:val="0"/>
          <w:sz w:val="40"/>
          <w:szCs w:val="40"/>
        </w:rPr>
        <w:t>《中国药物警戒》</w:t>
      </w:r>
      <w:r>
        <w:rPr>
          <w:rFonts w:hint="eastAsia" w:cs="Arial" w:asciiTheme="minorEastAsia" w:hAnsiTheme="minorEastAsia"/>
          <w:b/>
          <w:kern w:val="0"/>
          <w:sz w:val="40"/>
          <w:szCs w:val="40"/>
        </w:rPr>
        <w:t>投稿须知</w:t>
      </w:r>
    </w:p>
    <w:p>
      <w:pPr>
        <w:widowControl/>
        <w:spacing w:line="360" w:lineRule="auto"/>
        <w:ind w:firstLine="480"/>
        <w:jc w:val="left"/>
        <w:rPr>
          <w:rFonts w:cs="Arial" w:asciiTheme="minorEastAsia" w:hAnsiTheme="minorEastAsia"/>
          <w:kern w:val="0"/>
          <w:szCs w:val="21"/>
        </w:rPr>
      </w:pPr>
      <w:r>
        <w:rPr>
          <w:rFonts w:cs="Arial" w:asciiTheme="minorEastAsia" w:hAnsiTheme="minorEastAsia"/>
          <w:b/>
          <w:kern w:val="0"/>
          <w:szCs w:val="21"/>
        </w:rPr>
        <w:br w:type="textWrapping"/>
      </w:r>
      <w:r>
        <w:rPr>
          <w:rFonts w:hint="eastAsia" w:cs="Arial" w:asciiTheme="minorEastAsia" w:hAnsiTheme="minorEastAsia"/>
          <w:kern w:val="0"/>
          <w:szCs w:val="21"/>
        </w:rPr>
        <w:t xml:space="preserve">    </w:t>
      </w:r>
      <w:r>
        <w:rPr>
          <w:rFonts w:cs="Arial" w:asciiTheme="minorEastAsia" w:hAnsiTheme="minorEastAsia"/>
          <w:kern w:val="0"/>
          <w:szCs w:val="21"/>
        </w:rPr>
        <w:t>《中国药物警戒》</w:t>
      </w:r>
      <w:r>
        <w:rPr>
          <w:rFonts w:hint="eastAsia" w:cs="Arial" w:asciiTheme="minorEastAsia" w:hAnsiTheme="minorEastAsia"/>
          <w:kern w:val="0"/>
          <w:szCs w:val="21"/>
        </w:rPr>
        <w:t>期刊</w:t>
      </w:r>
      <w:r>
        <w:rPr>
          <w:rFonts w:cs="Arial" w:asciiTheme="minorEastAsia" w:hAnsiTheme="minorEastAsia"/>
          <w:kern w:val="0"/>
          <w:szCs w:val="21"/>
        </w:rPr>
        <w:t>是由国家药品监督管理局主管、国家药品监督管理局药品评价中心（国家药品不良反应监测中心）主办的国内外公开发行的综合性学术期刊</w:t>
      </w:r>
      <w:r>
        <w:rPr>
          <w:rFonts w:hint="eastAsia" w:cs="Arial" w:asciiTheme="minorEastAsia" w:hAnsiTheme="minorEastAsia"/>
          <w:kern w:val="0"/>
          <w:szCs w:val="21"/>
        </w:rPr>
        <w:t>，中国科技核心期刊、中国科技论文统计源期刊。主要</w:t>
      </w:r>
      <w:r>
        <w:rPr>
          <w:rFonts w:cs="Arial" w:asciiTheme="minorEastAsia" w:hAnsiTheme="minorEastAsia"/>
          <w:kern w:val="0"/>
          <w:szCs w:val="21"/>
        </w:rPr>
        <w:t>栏目设置：</w:t>
      </w:r>
      <w:r>
        <w:rPr>
          <w:rFonts w:hint="eastAsia" w:cs="Arial" w:asciiTheme="minorEastAsia" w:hAnsiTheme="minorEastAsia"/>
          <w:kern w:val="0"/>
          <w:szCs w:val="21"/>
        </w:rPr>
        <w:t>基础研究、临床研究、法规与管理研究、安全与合理用药、综述、专家</w:t>
      </w:r>
      <w:r>
        <w:rPr>
          <w:rFonts w:cs="Arial" w:asciiTheme="minorEastAsia" w:hAnsiTheme="minorEastAsia"/>
          <w:kern w:val="0"/>
          <w:szCs w:val="21"/>
        </w:rPr>
        <w:t>论坛、专题</w:t>
      </w:r>
      <w:r>
        <w:rPr>
          <w:rFonts w:hint="eastAsia" w:cs="Arial" w:asciiTheme="minorEastAsia" w:hAnsiTheme="minorEastAsia"/>
          <w:kern w:val="0"/>
          <w:szCs w:val="21"/>
        </w:rPr>
        <w:t>专栏</w:t>
      </w:r>
      <w:r>
        <w:rPr>
          <w:rFonts w:cs="Arial" w:asciiTheme="minorEastAsia" w:hAnsiTheme="minorEastAsia"/>
          <w:kern w:val="0"/>
          <w:szCs w:val="21"/>
        </w:rPr>
        <w:t>、警戒信息等。</w:t>
      </w:r>
    </w:p>
    <w:p>
      <w:pPr>
        <w:widowControl/>
        <w:spacing w:line="360" w:lineRule="auto"/>
        <w:ind w:firstLine="480"/>
        <w:jc w:val="left"/>
        <w:rPr>
          <w:rFonts w:cs="Arial" w:asciiTheme="minorEastAsia" w:hAnsiTheme="minorEastAsia"/>
          <w:kern w:val="0"/>
          <w:szCs w:val="21"/>
        </w:rPr>
      </w:pPr>
      <w:r>
        <w:rPr>
          <w:rFonts w:cs="Arial" w:asciiTheme="minorEastAsia" w:hAnsiTheme="minorEastAsia"/>
          <w:kern w:val="0"/>
          <w:szCs w:val="21"/>
          <w:lang w:bidi="ar"/>
        </w:rPr>
        <w:t>经本刊</w:t>
      </w:r>
      <w:r>
        <w:rPr>
          <w:rFonts w:hint="eastAsia" w:cs="Arial" w:asciiTheme="minorEastAsia" w:hAnsiTheme="minorEastAsia"/>
          <w:kern w:val="0"/>
          <w:szCs w:val="21"/>
          <w:lang w:bidi="ar"/>
        </w:rPr>
        <w:t>编委会</w:t>
      </w:r>
      <w:r>
        <w:rPr>
          <w:rFonts w:cs="Arial" w:asciiTheme="minorEastAsia" w:hAnsiTheme="minorEastAsia"/>
          <w:kern w:val="0"/>
          <w:szCs w:val="21"/>
          <w:lang w:bidi="ar"/>
        </w:rPr>
        <w:t>确认后的国家级、省级基金项目（作者需提供复印件）的</w:t>
      </w:r>
      <w:r>
        <w:rPr>
          <w:rFonts w:cs="Arial" w:asciiTheme="minorEastAsia" w:hAnsiTheme="minorEastAsia"/>
          <w:b/>
          <w:kern w:val="0"/>
          <w:szCs w:val="21"/>
          <w:lang w:bidi="ar"/>
        </w:rPr>
        <w:t>优质稿件</w:t>
      </w:r>
      <w:r>
        <w:rPr>
          <w:rFonts w:cs="Arial" w:asciiTheme="minorEastAsia" w:hAnsiTheme="minorEastAsia"/>
          <w:kern w:val="0"/>
          <w:szCs w:val="21"/>
          <w:lang w:bidi="ar"/>
        </w:rPr>
        <w:t>，可享受相应的加急发表、减免费用、稿酬奖励等</w:t>
      </w:r>
      <w:r>
        <w:rPr>
          <w:rFonts w:hint="eastAsia" w:cs="Arial" w:asciiTheme="minorEastAsia" w:hAnsiTheme="minorEastAsia"/>
          <w:kern w:val="0"/>
          <w:szCs w:val="21"/>
          <w:lang w:bidi="ar"/>
        </w:rPr>
        <w:t>。</w:t>
      </w:r>
      <w:r>
        <w:rPr>
          <w:rFonts w:cs="Arial" w:asciiTheme="minorEastAsia" w:hAnsiTheme="minorEastAsia"/>
          <w:kern w:val="0"/>
          <w:szCs w:val="21"/>
          <w:lang w:bidi="ar"/>
        </w:rPr>
        <w:t>具体情况请</w:t>
      </w:r>
      <w:r>
        <w:rPr>
          <w:rFonts w:hint="eastAsia" w:cs="Arial" w:asciiTheme="minorEastAsia" w:hAnsiTheme="minorEastAsia"/>
          <w:kern w:val="0"/>
          <w:szCs w:val="21"/>
          <w:lang w:bidi="ar"/>
        </w:rPr>
        <w:t>致电致</w:t>
      </w:r>
      <w:r>
        <w:rPr>
          <w:rFonts w:cs="Arial" w:asciiTheme="minorEastAsia" w:hAnsiTheme="minorEastAsia"/>
          <w:kern w:val="0"/>
          <w:szCs w:val="21"/>
          <w:lang w:bidi="ar"/>
        </w:rPr>
        <w:t>邮咨询。</w:t>
      </w:r>
      <w:r>
        <w:rPr>
          <w:rFonts w:hint="eastAsia" w:cs="Arial" w:asciiTheme="minorEastAsia" w:hAnsiTheme="minorEastAsia"/>
          <w:kern w:val="0"/>
          <w:szCs w:val="21"/>
        </w:rPr>
        <w:t>欢迎广大作者投稿！</w:t>
      </w:r>
    </w:p>
    <w:p>
      <w:pPr>
        <w:pStyle w:val="16"/>
        <w:widowControl/>
        <w:numPr>
          <w:ilvl w:val="0"/>
          <w:numId w:val="1"/>
        </w:numPr>
        <w:spacing w:line="360" w:lineRule="auto"/>
        <w:ind w:firstLineChars="0"/>
        <w:jc w:val="left"/>
        <w:rPr>
          <w:rFonts w:cs="Arial" w:asciiTheme="minorEastAsia" w:hAnsiTheme="minorEastAsia"/>
          <w:b/>
          <w:color w:val="000000" w:themeColor="text1"/>
          <w:kern w:val="0"/>
          <w:szCs w:val="21"/>
          <w14:textFill>
            <w14:solidFill>
              <w14:schemeClr w14:val="tx1"/>
            </w14:solidFill>
          </w14:textFill>
        </w:rPr>
      </w:pPr>
      <w:r>
        <w:rPr>
          <w:rFonts w:cs="Arial" w:asciiTheme="minorEastAsia" w:hAnsiTheme="minorEastAsia"/>
          <w:b/>
          <w:color w:val="000000" w:themeColor="text1"/>
          <w:kern w:val="0"/>
          <w:szCs w:val="21"/>
          <w14:textFill>
            <w14:solidFill>
              <w14:schemeClr w14:val="tx1"/>
            </w14:solidFill>
          </w14:textFill>
        </w:rPr>
        <w:t>稿</w:t>
      </w:r>
      <w:r>
        <w:rPr>
          <w:rFonts w:hint="eastAsia" w:cs="Arial" w:asciiTheme="minorEastAsia" w:hAnsiTheme="minorEastAsia"/>
          <w:b/>
          <w:color w:val="000000" w:themeColor="text1"/>
          <w:kern w:val="0"/>
          <w:szCs w:val="21"/>
          <w14:textFill>
            <w14:solidFill>
              <w14:schemeClr w14:val="tx1"/>
            </w14:solidFill>
          </w14:textFill>
        </w:rPr>
        <w:t>件</w:t>
      </w:r>
      <w:r>
        <w:rPr>
          <w:rFonts w:cs="Arial" w:asciiTheme="minorEastAsia" w:hAnsiTheme="minorEastAsia"/>
          <w:b/>
          <w:color w:val="000000" w:themeColor="text1"/>
          <w:kern w:val="0"/>
          <w:szCs w:val="21"/>
          <w14:textFill>
            <w14:solidFill>
              <w14:schemeClr w14:val="tx1"/>
            </w14:solidFill>
          </w14:textFill>
        </w:rPr>
        <w:t>要求</w:t>
      </w:r>
    </w:p>
    <w:p>
      <w:pPr>
        <w:widowControl/>
        <w:spacing w:line="360" w:lineRule="auto"/>
        <w:rPr>
          <w:rFonts w:cs="Arial" w:asciiTheme="minorEastAsia" w:hAnsiTheme="minorEastAsia"/>
          <w:kern w:val="0"/>
          <w:szCs w:val="21"/>
        </w:rPr>
      </w:pPr>
      <w:r>
        <w:rPr>
          <w:rFonts w:hint="eastAsia" w:cs="Arial" w:asciiTheme="minorEastAsia" w:hAnsiTheme="minorEastAsia"/>
          <w:b/>
          <w:color w:val="000000"/>
          <w:kern w:val="0"/>
          <w:szCs w:val="21"/>
        </w:rPr>
        <w:t>（一）稿件基本要求</w:t>
      </w:r>
      <w:r>
        <w:rPr>
          <w:rFonts w:cs="Arial" w:asciiTheme="minorEastAsia" w:hAnsiTheme="minorEastAsia"/>
          <w:kern w:val="0"/>
          <w:szCs w:val="21"/>
        </w:rPr>
        <w:br w:type="textWrapping"/>
      </w:r>
      <w:r>
        <w:rPr>
          <w:rFonts w:cs="Arial" w:asciiTheme="minorEastAsia" w:hAnsiTheme="minorEastAsia"/>
          <w:kern w:val="0"/>
          <w:szCs w:val="21"/>
        </w:rPr>
        <w:t>　</w:t>
      </w:r>
      <w:r>
        <w:rPr>
          <w:rFonts w:cs="Arial" w:asciiTheme="minorEastAsia" w:hAnsiTheme="minorEastAsia"/>
          <w:b/>
          <w:bCs/>
          <w:kern w:val="0"/>
          <w:szCs w:val="21"/>
        </w:rPr>
        <w:t>　1.</w:t>
      </w:r>
      <w:r>
        <w:rPr>
          <w:rFonts w:cs="Arial" w:asciiTheme="minorEastAsia" w:hAnsiTheme="minorEastAsia"/>
          <w:b/>
          <w:bCs/>
          <w:color w:val="000000"/>
          <w:kern w:val="0"/>
          <w:szCs w:val="21"/>
        </w:rPr>
        <w:t>稿</w:t>
      </w:r>
      <w:r>
        <w:rPr>
          <w:rFonts w:hint="eastAsia" w:cs="Arial" w:asciiTheme="minorEastAsia" w:hAnsiTheme="minorEastAsia"/>
          <w:b/>
          <w:bCs/>
          <w:color w:val="000000"/>
          <w:kern w:val="0"/>
          <w:szCs w:val="21"/>
        </w:rPr>
        <w:t>件</w:t>
      </w:r>
      <w:r>
        <w:rPr>
          <w:rFonts w:cs="Arial" w:asciiTheme="minorEastAsia" w:hAnsiTheme="minorEastAsia"/>
          <w:b/>
          <w:bCs/>
          <w:color w:val="000000"/>
          <w:kern w:val="0"/>
          <w:szCs w:val="21"/>
        </w:rPr>
        <w:t>内容</w:t>
      </w:r>
      <w:r>
        <w:rPr>
          <w:rFonts w:hint="eastAsia" w:cs="Arial" w:asciiTheme="minorEastAsia" w:hAnsiTheme="minorEastAsia"/>
          <w:b/>
          <w:bCs/>
          <w:color w:val="000000"/>
          <w:kern w:val="0"/>
          <w:szCs w:val="21"/>
        </w:rPr>
        <w:t>：</w:t>
      </w:r>
      <w:r>
        <w:rPr>
          <w:rFonts w:cs="Arial" w:asciiTheme="minorEastAsia" w:hAnsiTheme="minorEastAsia"/>
          <w:kern w:val="0"/>
          <w:szCs w:val="21"/>
        </w:rPr>
        <w:t>应具有科学性、先进性、实用性，论点明确，资料可靠，文字精炼，层次清楚，数据准确，</w:t>
      </w:r>
      <w:r>
        <w:rPr>
          <w:rFonts w:hint="eastAsia" w:cs="Arial" w:asciiTheme="minorEastAsia" w:hAnsiTheme="minorEastAsia"/>
          <w:kern w:val="0"/>
          <w:szCs w:val="21"/>
        </w:rPr>
        <w:t>统计学方法正确，文章格式</w:t>
      </w:r>
      <w:r>
        <w:rPr>
          <w:rFonts w:cs="Arial" w:asciiTheme="minorEastAsia" w:hAnsiTheme="minorEastAsia"/>
          <w:kern w:val="0"/>
          <w:szCs w:val="21"/>
        </w:rPr>
        <w:t>规范</w:t>
      </w:r>
      <w:r>
        <w:rPr>
          <w:rFonts w:hint="eastAsia" w:cs="Arial" w:asciiTheme="minorEastAsia" w:hAnsiTheme="minorEastAsia"/>
          <w:kern w:val="0"/>
          <w:szCs w:val="21"/>
        </w:rPr>
        <w:t>。基金稿件请在文中标注项目全称及编号。</w:t>
      </w:r>
      <w:r>
        <w:rPr>
          <w:rFonts w:cs="Arial" w:asciiTheme="minorEastAsia" w:hAnsiTheme="minorEastAsia"/>
          <w:kern w:val="0"/>
          <w:szCs w:val="21"/>
        </w:rPr>
        <w:t xml:space="preserve"> </w:t>
      </w:r>
    </w:p>
    <w:p>
      <w:pPr>
        <w:spacing w:line="360" w:lineRule="auto"/>
        <w:ind w:left="302" w:leftChars="144" w:firstLine="105" w:firstLineChars="50"/>
        <w:rPr>
          <w:rFonts w:cs="Arial" w:asciiTheme="minorEastAsia" w:hAnsiTheme="minorEastAsia"/>
          <w:kern w:val="0"/>
          <w:szCs w:val="21"/>
        </w:rPr>
      </w:pPr>
      <w:r>
        <w:rPr>
          <w:rFonts w:hint="eastAsia" w:cs="Arial" w:asciiTheme="minorEastAsia" w:hAnsiTheme="minorEastAsia"/>
          <w:b/>
          <w:bCs/>
          <w:kern w:val="0"/>
          <w:szCs w:val="21"/>
        </w:rPr>
        <w:t>2.</w:t>
      </w:r>
      <w:r>
        <w:rPr>
          <w:rFonts w:cs="Arial" w:asciiTheme="minorEastAsia" w:hAnsiTheme="minorEastAsia"/>
          <w:b/>
          <w:bCs/>
          <w:kern w:val="0"/>
          <w:szCs w:val="21"/>
        </w:rPr>
        <w:t>文题：</w:t>
      </w:r>
      <w:r>
        <w:rPr>
          <w:rFonts w:cs="Arial" w:asciiTheme="minorEastAsia" w:hAnsiTheme="minorEastAsia"/>
          <w:kern w:val="0"/>
          <w:szCs w:val="21"/>
        </w:rPr>
        <w:t>应凝练、醒目，反映文章的主题。文题居中，中文文题20字以内为宜。</w:t>
      </w:r>
      <w:r>
        <w:rPr>
          <w:rFonts w:hint="eastAsia" w:cs="Arial" w:asciiTheme="minorEastAsia" w:hAnsiTheme="minorEastAsia"/>
          <w:kern w:val="0"/>
          <w:szCs w:val="21"/>
        </w:rPr>
        <w:t>要符</w:t>
      </w:r>
    </w:p>
    <w:p>
      <w:pPr>
        <w:spacing w:line="360" w:lineRule="auto"/>
        <w:rPr>
          <w:rFonts w:cs="Arial" w:asciiTheme="minorEastAsia" w:hAnsiTheme="minorEastAsia"/>
          <w:kern w:val="0"/>
          <w:szCs w:val="21"/>
        </w:rPr>
      </w:pPr>
      <w:r>
        <w:rPr>
          <w:rFonts w:hint="eastAsia" w:cs="Arial" w:asciiTheme="minorEastAsia" w:hAnsiTheme="minorEastAsia"/>
          <w:kern w:val="0"/>
          <w:szCs w:val="21"/>
        </w:rPr>
        <w:t>合编制题录、索引和检索的有关原则，并有助于选定关键词。</w:t>
      </w:r>
      <w:r>
        <w:rPr>
          <w:rFonts w:cs="Arial" w:asciiTheme="minorEastAsia" w:hAnsiTheme="minorEastAsia"/>
          <w:kern w:val="0"/>
          <w:szCs w:val="21"/>
        </w:rPr>
        <w:t>不用非公认公知的缩写与符号。</w:t>
      </w:r>
      <w:r>
        <w:rPr>
          <w:rFonts w:hint="eastAsia" w:cs="Arial" w:asciiTheme="minorEastAsia" w:hAnsiTheme="minorEastAsia"/>
          <w:kern w:val="0"/>
          <w:szCs w:val="21"/>
        </w:rPr>
        <w:t>中英文题目含义应一致。</w:t>
      </w:r>
    </w:p>
    <w:p>
      <w:pPr>
        <w:widowControl/>
        <w:spacing w:line="360" w:lineRule="auto"/>
        <w:ind w:firstLine="422" w:firstLineChars="200"/>
        <w:rPr>
          <w:rFonts w:cs="Arial" w:asciiTheme="minorEastAsia" w:hAnsiTheme="minorEastAsia"/>
          <w:kern w:val="0"/>
          <w:szCs w:val="21"/>
        </w:rPr>
      </w:pPr>
      <w:r>
        <w:rPr>
          <w:rFonts w:hint="eastAsia" w:cs="Arial" w:asciiTheme="minorEastAsia" w:hAnsiTheme="minorEastAsia"/>
          <w:b/>
          <w:bCs/>
          <w:kern w:val="0"/>
          <w:szCs w:val="21"/>
        </w:rPr>
        <w:t>3.</w:t>
      </w:r>
      <w:r>
        <w:rPr>
          <w:rFonts w:cs="Arial" w:asciiTheme="minorEastAsia" w:hAnsiTheme="minorEastAsia"/>
          <w:b/>
          <w:bCs/>
          <w:kern w:val="0"/>
          <w:szCs w:val="21"/>
        </w:rPr>
        <w:t>作者：</w:t>
      </w:r>
      <w:r>
        <w:rPr>
          <w:rFonts w:cs="Arial" w:asciiTheme="minorEastAsia" w:hAnsiTheme="minorEastAsia"/>
          <w:kern w:val="0"/>
          <w:szCs w:val="21"/>
        </w:rPr>
        <w:t>稿件的作者应是合法著作权人和责任者。作者署名在文题下按序排列</w:t>
      </w:r>
      <w:r>
        <w:rPr>
          <w:rFonts w:hint="eastAsia" w:cs="Arial" w:asciiTheme="minorEastAsia" w:hAnsiTheme="minorEastAsia"/>
          <w:kern w:val="0"/>
          <w:szCs w:val="21"/>
        </w:rPr>
        <w:t>，作者和单位的排列顺序由作者自行商定，作者名字之间用逗号隔开</w:t>
      </w:r>
      <w:r>
        <w:rPr>
          <w:rFonts w:cs="Arial" w:asciiTheme="minorEastAsia" w:hAnsiTheme="minorEastAsia"/>
          <w:kern w:val="0"/>
          <w:szCs w:val="21"/>
        </w:rPr>
        <w:t>；作者单位名称</w:t>
      </w:r>
      <w:r>
        <w:rPr>
          <w:rFonts w:hint="eastAsia" w:cs="Arial" w:asciiTheme="minorEastAsia" w:hAnsiTheme="minorEastAsia"/>
          <w:kern w:val="0"/>
          <w:szCs w:val="21"/>
        </w:rPr>
        <w:t>按作者出现顺序排序，</w:t>
      </w:r>
      <w:r>
        <w:rPr>
          <w:rFonts w:cs="Arial" w:asciiTheme="minorEastAsia" w:hAnsiTheme="minorEastAsia"/>
          <w:kern w:val="0"/>
          <w:szCs w:val="21"/>
        </w:rPr>
        <w:t>邮政编码编排于作者署名下方，</w:t>
      </w:r>
      <w:r>
        <w:rPr>
          <w:rFonts w:hint="eastAsia" w:cs="Arial" w:asciiTheme="minorEastAsia" w:hAnsiTheme="minorEastAsia"/>
          <w:kern w:val="0"/>
          <w:szCs w:val="21"/>
        </w:rPr>
        <w:t>写明省、市（县）和邮政编码，单位要具体到所在的科、室，括在括号内。作者在不同城市、不同单位，可用数字标注于名字右上角，相应单位前加数字序号。例如：张三</w:t>
      </w:r>
      <w:r>
        <w:rPr>
          <w:rFonts w:hint="eastAsia" w:cs="Arial" w:asciiTheme="minorEastAsia" w:hAnsiTheme="minorEastAsia"/>
          <w:kern w:val="0"/>
          <w:szCs w:val="21"/>
          <w:vertAlign w:val="superscript"/>
        </w:rPr>
        <w:t>1</w:t>
      </w:r>
      <w:r>
        <w:rPr>
          <w:rFonts w:hint="eastAsia" w:cs="Arial" w:asciiTheme="minorEastAsia" w:hAnsiTheme="minorEastAsia"/>
          <w:kern w:val="0"/>
          <w:szCs w:val="21"/>
        </w:rPr>
        <w:t>，李四</w:t>
      </w:r>
      <w:r>
        <w:rPr>
          <w:rFonts w:hint="eastAsia" w:cs="Arial" w:asciiTheme="minorEastAsia" w:hAnsiTheme="minorEastAsia"/>
          <w:kern w:val="0"/>
          <w:szCs w:val="21"/>
          <w:vertAlign w:val="superscript"/>
        </w:rPr>
        <w:t>1，2</w:t>
      </w:r>
      <w:r>
        <w:rPr>
          <w:rFonts w:hint="eastAsia" w:cs="Arial" w:asciiTheme="minorEastAsia" w:hAnsiTheme="minorEastAsia"/>
          <w:kern w:val="0"/>
          <w:szCs w:val="21"/>
        </w:rPr>
        <w:t>（</w:t>
      </w:r>
      <w:r>
        <w:rPr>
          <w:rFonts w:hint="eastAsia" w:cs="Arial" w:asciiTheme="minorEastAsia" w:hAnsiTheme="minorEastAsia"/>
          <w:kern w:val="0"/>
          <w:szCs w:val="21"/>
          <w:vertAlign w:val="superscript"/>
        </w:rPr>
        <w:t>1</w:t>
      </w:r>
      <w:r>
        <w:rPr>
          <w:rFonts w:hint="eastAsia" w:cs="Arial" w:asciiTheme="minorEastAsia" w:hAnsiTheme="minorEastAsia"/>
          <w:kern w:val="0"/>
          <w:szCs w:val="21"/>
        </w:rPr>
        <w:t>中国药科大学药物分析研究室，江苏 南京 210009；</w:t>
      </w:r>
      <w:r>
        <w:rPr>
          <w:rFonts w:hint="eastAsia" w:cs="Arial" w:asciiTheme="minorEastAsia" w:hAnsiTheme="minorEastAsia"/>
          <w:kern w:val="0"/>
          <w:szCs w:val="21"/>
          <w:vertAlign w:val="superscript"/>
        </w:rPr>
        <w:t>2</w:t>
      </w:r>
      <w:r>
        <w:rPr>
          <w:rFonts w:hint="eastAsia" w:cs="Arial" w:asciiTheme="minorEastAsia" w:hAnsiTheme="minorEastAsia"/>
          <w:kern w:val="0"/>
          <w:szCs w:val="21"/>
        </w:rPr>
        <w:t>北京中医药大学生物膜与膜生物工程国家重点实验室，北京 100871）。</w:t>
      </w:r>
    </w:p>
    <w:p>
      <w:pPr>
        <w:widowControl/>
        <w:spacing w:line="360" w:lineRule="auto"/>
        <w:ind w:firstLine="422" w:firstLineChars="200"/>
        <w:rPr>
          <w:rFonts w:cs="Arial" w:asciiTheme="minorEastAsia" w:hAnsiTheme="minorEastAsia"/>
          <w:kern w:val="0"/>
          <w:szCs w:val="21"/>
        </w:rPr>
      </w:pPr>
      <w:r>
        <w:rPr>
          <w:rFonts w:hint="eastAsia" w:cs="Arial" w:asciiTheme="minorEastAsia" w:hAnsiTheme="minorEastAsia"/>
          <w:b/>
          <w:bCs/>
          <w:kern w:val="0"/>
          <w:szCs w:val="21"/>
        </w:rPr>
        <w:t>4.</w:t>
      </w:r>
      <w:r>
        <w:rPr>
          <w:rFonts w:cs="Arial" w:asciiTheme="minorEastAsia" w:hAnsiTheme="minorEastAsia"/>
          <w:b/>
          <w:bCs/>
          <w:kern w:val="0"/>
          <w:szCs w:val="21"/>
        </w:rPr>
        <w:t>论文首页脚注</w:t>
      </w:r>
      <w:r>
        <w:rPr>
          <w:rFonts w:hint="eastAsia" w:cs="Arial" w:asciiTheme="minorEastAsia" w:hAnsiTheme="minorEastAsia"/>
          <w:b/>
          <w:bCs/>
          <w:kern w:val="0"/>
          <w:szCs w:val="21"/>
        </w:rPr>
        <w:t>：</w:t>
      </w:r>
      <w:r>
        <w:rPr>
          <w:rFonts w:hint="eastAsia" w:cs="Arial" w:asciiTheme="minorEastAsia" w:hAnsiTheme="minorEastAsia"/>
          <w:kern w:val="0"/>
          <w:szCs w:val="21"/>
        </w:rPr>
        <w:t>第1行基金项目(基金资助课题及编号)；第2行作者简介（姓名、性别、学位、职称、研究方向），第3行</w:t>
      </w:r>
      <w:r>
        <w:rPr>
          <w:rFonts w:cs="Arial" w:asciiTheme="minorEastAsia" w:hAnsiTheme="minorEastAsia"/>
          <w:kern w:val="0"/>
          <w:szCs w:val="21"/>
        </w:rPr>
        <w:t>通信作者</w:t>
      </w:r>
      <w:r>
        <w:rPr>
          <w:rFonts w:hint="eastAsia" w:cs="Arial" w:asciiTheme="minorEastAsia" w:hAnsiTheme="minorEastAsia"/>
          <w:kern w:val="0"/>
          <w:szCs w:val="21"/>
        </w:rPr>
        <w:t>（姓名、性别、学位、职称、研究方向，</w:t>
      </w:r>
      <w:r>
        <w:rPr>
          <w:rFonts w:hint="eastAsia" w:asciiTheme="minorEastAsia" w:hAnsiTheme="minorEastAsia"/>
          <w:szCs w:val="21"/>
        </w:rPr>
        <w:t>E-mail</w:t>
      </w:r>
      <w:r>
        <w:rPr>
          <w:rFonts w:hint="eastAsia" w:cs="Arial" w:asciiTheme="minorEastAsia" w:hAnsiTheme="minorEastAsia"/>
          <w:kern w:val="0"/>
          <w:szCs w:val="21"/>
        </w:rPr>
        <w:t>）</w:t>
      </w:r>
      <w:r>
        <w:rPr>
          <w:rFonts w:cs="Arial" w:asciiTheme="minorEastAsia" w:hAnsiTheme="minorEastAsia"/>
          <w:kern w:val="0"/>
          <w:szCs w:val="21"/>
        </w:rPr>
        <w:t>。作者的汉语拼音姓在前，名在后，如：</w:t>
      </w:r>
      <w:r>
        <w:rPr>
          <w:rFonts w:hint="eastAsia" w:cs="Arial" w:asciiTheme="minorEastAsia" w:hAnsiTheme="minorEastAsia"/>
          <w:kern w:val="0"/>
          <w:szCs w:val="21"/>
        </w:rPr>
        <w:t>王小明</w:t>
      </w:r>
      <w:r>
        <w:rPr>
          <w:rFonts w:cs="Arial" w:asciiTheme="minorEastAsia" w:hAnsiTheme="minorEastAsia"/>
          <w:kern w:val="0"/>
          <w:szCs w:val="21"/>
        </w:rPr>
        <w:t>写为</w:t>
      </w:r>
      <w:r>
        <w:rPr>
          <w:rFonts w:hint="eastAsia" w:cs="Arial" w:asciiTheme="minorEastAsia" w:hAnsiTheme="minorEastAsia"/>
          <w:kern w:val="0"/>
          <w:szCs w:val="21"/>
        </w:rPr>
        <w:t>WANG Xiaoming</w:t>
      </w:r>
      <w:r>
        <w:rPr>
          <w:rFonts w:cs="Arial" w:asciiTheme="minorEastAsia" w:hAnsiTheme="minorEastAsia"/>
          <w:kern w:val="0"/>
          <w:szCs w:val="21"/>
        </w:rPr>
        <w:t>。外国作者的姓名写法遵从国际惯例。作者的中英文单位名称要写全称，</w:t>
      </w:r>
      <w:r>
        <w:rPr>
          <w:rFonts w:hint="eastAsia" w:cs="Arial" w:asciiTheme="minorEastAsia" w:hAnsiTheme="minorEastAsia"/>
          <w:kern w:val="0"/>
          <w:szCs w:val="21"/>
        </w:rPr>
        <w:t>首字母大写，</w:t>
      </w:r>
      <w:r>
        <w:rPr>
          <w:rFonts w:cs="Arial" w:asciiTheme="minorEastAsia" w:hAnsiTheme="minorEastAsia"/>
          <w:kern w:val="0"/>
          <w:szCs w:val="21"/>
        </w:rPr>
        <w:t>并附省、市名及邮政编码 (英文摘要中加China)。</w:t>
      </w:r>
    </w:p>
    <w:p>
      <w:pPr>
        <w:widowControl/>
        <w:spacing w:line="360" w:lineRule="auto"/>
        <w:ind w:firstLine="422" w:firstLineChars="200"/>
        <w:rPr>
          <w:rFonts w:cs="Arial" w:asciiTheme="minorEastAsia" w:hAnsiTheme="minorEastAsia"/>
          <w:kern w:val="0"/>
          <w:szCs w:val="21"/>
        </w:rPr>
      </w:pPr>
      <w:r>
        <w:rPr>
          <w:rFonts w:hint="eastAsia" w:cs="Arial" w:asciiTheme="minorEastAsia" w:hAnsiTheme="minorEastAsia"/>
          <w:b/>
          <w:bCs/>
          <w:kern w:val="0"/>
          <w:szCs w:val="21"/>
        </w:rPr>
        <w:t>5.</w:t>
      </w:r>
      <w:r>
        <w:rPr>
          <w:rFonts w:cs="Arial" w:asciiTheme="minorEastAsia" w:hAnsiTheme="minorEastAsia"/>
          <w:b/>
          <w:bCs/>
          <w:kern w:val="0"/>
          <w:szCs w:val="21"/>
        </w:rPr>
        <w:t>基金项目：</w:t>
      </w:r>
      <w:r>
        <w:rPr>
          <w:rFonts w:cs="Arial" w:asciiTheme="minorEastAsia" w:hAnsiTheme="minorEastAsia"/>
          <w:kern w:val="0"/>
          <w:szCs w:val="21"/>
        </w:rPr>
        <w:t>论文所涉及的课题如取得国家或部、省级以上基金或属攻关项目，应脚注于文题页左下方，如“基金项目：国家自然科学基金资助项目（59637050）”，作为脚注的第一项，并附基金证书复印件。 </w:t>
      </w:r>
    </w:p>
    <w:p>
      <w:pPr>
        <w:widowControl/>
        <w:spacing w:line="360" w:lineRule="auto"/>
        <w:ind w:firstLine="466" w:firstLineChars="221"/>
        <w:rPr>
          <w:rFonts w:cs="Arial" w:asciiTheme="minorEastAsia" w:hAnsiTheme="minorEastAsia"/>
          <w:kern w:val="0"/>
          <w:szCs w:val="21"/>
        </w:rPr>
      </w:pPr>
      <w:r>
        <w:rPr>
          <w:rFonts w:hint="eastAsia" w:cs="Arial" w:asciiTheme="minorEastAsia" w:hAnsiTheme="minorEastAsia"/>
          <w:b/>
          <w:bCs/>
          <w:kern w:val="0"/>
          <w:szCs w:val="21"/>
        </w:rPr>
        <w:t>6</w:t>
      </w:r>
      <w:r>
        <w:rPr>
          <w:rFonts w:cs="Arial" w:asciiTheme="minorEastAsia" w:hAnsiTheme="minorEastAsia"/>
          <w:b/>
          <w:bCs/>
          <w:kern w:val="0"/>
          <w:szCs w:val="21"/>
        </w:rPr>
        <w:t>.摘要：</w:t>
      </w:r>
      <w:r>
        <w:rPr>
          <w:rFonts w:cs="Arial" w:asciiTheme="minorEastAsia" w:hAnsiTheme="minorEastAsia"/>
          <w:kern w:val="0"/>
          <w:szCs w:val="21"/>
        </w:rPr>
        <w:t>论著须附中、英文摘要，二者</w:t>
      </w:r>
      <w:r>
        <w:rPr>
          <w:rFonts w:hint="eastAsia" w:cs="Arial" w:asciiTheme="minorEastAsia" w:hAnsiTheme="minorEastAsia"/>
          <w:kern w:val="0"/>
          <w:szCs w:val="21"/>
        </w:rPr>
        <w:t>内容</w:t>
      </w:r>
      <w:r>
        <w:rPr>
          <w:rFonts w:cs="Arial" w:asciiTheme="minorEastAsia" w:hAnsiTheme="minorEastAsia"/>
          <w:kern w:val="0"/>
          <w:szCs w:val="21"/>
        </w:rPr>
        <w:t>应</w:t>
      </w:r>
      <w:r>
        <w:rPr>
          <w:rFonts w:hint="eastAsia" w:cs="Arial" w:asciiTheme="minorEastAsia" w:hAnsiTheme="minorEastAsia"/>
          <w:kern w:val="0"/>
          <w:szCs w:val="21"/>
        </w:rPr>
        <w:t>相互对应，英文摘要可更</w:t>
      </w:r>
      <w:r>
        <w:rPr>
          <w:rFonts w:cs="Arial" w:asciiTheme="minorEastAsia" w:hAnsiTheme="minorEastAsia"/>
          <w:kern w:val="0"/>
          <w:szCs w:val="21"/>
        </w:rPr>
        <w:t>具体（400字左右）。除综述栏目内的文章可写指示性摘要，其余文章均按结构式摘要“四要素”格式：目的（Objective）、方法(Methods)、结果(Results)、结论(Conclusion)四部分。采用第三人称撰写，不用“本文”等主语，应采用“对……进行了研究”、“报道了</w:t>
      </w:r>
      <w:r>
        <w:rPr>
          <w:rFonts w:hint="eastAsia" w:cs="Arial" w:asciiTheme="minorEastAsia" w:hAnsiTheme="minorEastAsia"/>
          <w:kern w:val="0"/>
          <w:szCs w:val="21"/>
        </w:rPr>
        <w:t>……现状”、“进行了……调查”等记述方法，省去“本文……”，“作者……”等主语。</w:t>
      </w:r>
      <w:r>
        <w:rPr>
          <w:rFonts w:cs="Arial" w:asciiTheme="minorEastAsia" w:hAnsiTheme="minorEastAsia"/>
          <w:kern w:val="0"/>
          <w:szCs w:val="21"/>
        </w:rPr>
        <w:t>中文摘要可简略些（200字左右），英文摘要则相对具体些（400字左右）。英文摘要应包括文题、作者姓名（汉语拼音，姓每个字母均大写，名字首字母大写）、单位名称、所在城市名、邮政编码及国名。作者应列出全部作者的姓名，如作者工作单位不同，只列出通信作者的工作单位，在通信作者姓名右上角加</w:t>
      </w:r>
      <w:r>
        <w:rPr>
          <w:rFonts w:hint="eastAsia" w:cs="Arial" w:asciiTheme="minorEastAsia" w:hAnsiTheme="minorEastAsia"/>
          <w:kern w:val="0"/>
          <w:szCs w:val="21"/>
        </w:rPr>
        <w:t>“*”</w:t>
      </w:r>
      <w:r>
        <w:rPr>
          <w:rFonts w:cs="Arial" w:asciiTheme="minorEastAsia" w:hAnsiTheme="minorEastAsia"/>
          <w:kern w:val="0"/>
          <w:szCs w:val="21"/>
        </w:rPr>
        <w:t>，同时在通信作者的单位名称首字母左上角加</w:t>
      </w:r>
      <w:r>
        <w:rPr>
          <w:rFonts w:hint="eastAsia" w:cs="Arial" w:asciiTheme="minorEastAsia" w:hAnsiTheme="minorEastAsia"/>
          <w:kern w:val="0"/>
          <w:szCs w:val="21"/>
        </w:rPr>
        <w:t>“*”</w:t>
      </w:r>
      <w:r>
        <w:rPr>
          <w:rFonts w:cs="Arial" w:asciiTheme="minorEastAsia" w:hAnsiTheme="minorEastAsia"/>
          <w:kern w:val="0"/>
          <w:szCs w:val="21"/>
        </w:rPr>
        <w:t>。 </w:t>
      </w:r>
      <w:r>
        <w:rPr>
          <w:rFonts w:cs="Arial" w:asciiTheme="minorEastAsia" w:hAnsiTheme="minorEastAsia"/>
          <w:kern w:val="0"/>
          <w:szCs w:val="21"/>
        </w:rPr>
        <w:br w:type="textWrapping"/>
      </w:r>
      <w:r>
        <w:rPr>
          <w:rFonts w:hint="eastAsia" w:cs="Arial" w:asciiTheme="minorEastAsia" w:hAnsiTheme="minorEastAsia"/>
          <w:kern w:val="0"/>
          <w:szCs w:val="21"/>
        </w:rPr>
        <w:t xml:space="preserve"> </w:t>
      </w:r>
      <w:r>
        <w:rPr>
          <w:rFonts w:hint="eastAsia" w:cs="Arial" w:asciiTheme="minorEastAsia" w:hAnsiTheme="minorEastAsia"/>
          <w:b/>
          <w:bCs/>
          <w:kern w:val="0"/>
          <w:szCs w:val="21"/>
        </w:rPr>
        <w:t xml:space="preserve">   7.</w:t>
      </w:r>
      <w:r>
        <w:rPr>
          <w:rFonts w:cs="Arial" w:asciiTheme="minorEastAsia" w:hAnsiTheme="minorEastAsia"/>
          <w:b/>
          <w:bCs/>
          <w:kern w:val="0"/>
          <w:szCs w:val="21"/>
        </w:rPr>
        <w:t>关键词：</w:t>
      </w:r>
      <w:r>
        <w:rPr>
          <w:rFonts w:hint="eastAsia" w:cs="Arial" w:asciiTheme="minorEastAsia" w:hAnsiTheme="minorEastAsia"/>
          <w:kern w:val="0"/>
          <w:szCs w:val="21"/>
        </w:rPr>
        <w:t>所有文章在投稿时均要写出中、英文关键词 6～8个。</w:t>
      </w:r>
      <w:r>
        <w:rPr>
          <w:rFonts w:cs="Arial" w:asciiTheme="minorEastAsia" w:hAnsiTheme="minorEastAsia"/>
          <w:kern w:val="0"/>
          <w:szCs w:val="21"/>
        </w:rPr>
        <w:t>中文关键词放在中文摘要后，英文关键词放在英文摘要后，中、英文关键词一一对应。</w:t>
      </w:r>
      <w:r>
        <w:rPr>
          <w:rFonts w:hint="eastAsia" w:cs="Arial" w:asciiTheme="minorEastAsia" w:hAnsiTheme="minorEastAsia"/>
          <w:kern w:val="0"/>
          <w:szCs w:val="21"/>
        </w:rPr>
        <w:t>关键词宜选自《医学主题词表》（MeSH主题词表）和《中医中药主题词表》，主要的自由词和未被词表收录的新学科、新技术中的重要术语，也可作为关键词标出。</w:t>
      </w:r>
      <w:r>
        <w:rPr>
          <w:rFonts w:cs="Arial" w:asciiTheme="minorEastAsia" w:hAnsiTheme="minorEastAsia"/>
          <w:kern w:val="0"/>
          <w:szCs w:val="21"/>
        </w:rPr>
        <w:t>英文关键词全部用小写 (人名</w:t>
      </w:r>
      <w:r>
        <w:rPr>
          <w:rFonts w:hint="eastAsia" w:cs="Arial" w:asciiTheme="minorEastAsia" w:hAnsiTheme="minorEastAsia"/>
          <w:kern w:val="0"/>
          <w:szCs w:val="21"/>
        </w:rPr>
        <w:t>、专有名词</w:t>
      </w:r>
      <w:r>
        <w:rPr>
          <w:rFonts w:cs="Arial" w:asciiTheme="minorEastAsia" w:hAnsiTheme="minorEastAsia"/>
          <w:kern w:val="0"/>
          <w:szCs w:val="21"/>
        </w:rPr>
        <w:t>等例外)，各词汇之间用分号分隔</w:t>
      </w:r>
      <w:r>
        <w:rPr>
          <w:rFonts w:hint="eastAsia" w:cs="Arial" w:asciiTheme="minorEastAsia" w:hAnsiTheme="minorEastAsia"/>
          <w:kern w:val="0"/>
          <w:szCs w:val="21"/>
        </w:rPr>
        <w:t>，</w:t>
      </w:r>
      <w:r>
        <w:rPr>
          <w:rFonts w:cs="Arial" w:asciiTheme="minorEastAsia" w:hAnsiTheme="minorEastAsia"/>
          <w:kern w:val="0"/>
          <w:szCs w:val="21"/>
        </w:rPr>
        <w:t>结束处不用标点符号。 </w:t>
      </w:r>
    </w:p>
    <w:p>
      <w:pPr>
        <w:widowControl/>
        <w:spacing w:line="360" w:lineRule="auto"/>
        <w:ind w:firstLine="422" w:firstLineChars="200"/>
        <w:jc w:val="left"/>
        <w:rPr>
          <w:rFonts w:cs="Arial" w:asciiTheme="minorEastAsia" w:hAnsiTheme="minorEastAsia"/>
          <w:kern w:val="0"/>
          <w:szCs w:val="21"/>
        </w:rPr>
      </w:pPr>
      <w:r>
        <w:rPr>
          <w:rFonts w:hint="eastAsia" w:cs="Arial" w:asciiTheme="minorEastAsia" w:hAnsiTheme="minorEastAsia"/>
          <w:b/>
          <w:bCs/>
          <w:kern w:val="0"/>
          <w:szCs w:val="21"/>
        </w:rPr>
        <w:t>8.正文：</w:t>
      </w:r>
      <w:r>
        <w:rPr>
          <w:rFonts w:hint="eastAsia" w:cs="Arial" w:asciiTheme="minorEastAsia" w:hAnsiTheme="minorEastAsia"/>
          <w:kern w:val="0"/>
          <w:szCs w:val="21"/>
        </w:rPr>
        <w:t>正文层次不宜过多，序号按“</w:t>
      </w:r>
      <w:r>
        <w:rPr>
          <w:rFonts w:cs="Arial" w:asciiTheme="minorEastAsia" w:hAnsiTheme="minorEastAsia"/>
          <w:kern w:val="0"/>
          <w:szCs w:val="21"/>
        </w:rPr>
        <w:t>1</w:t>
      </w:r>
      <w:r>
        <w:rPr>
          <w:rFonts w:hint="eastAsia" w:cs="Arial" w:asciiTheme="minorEastAsia" w:hAnsiTheme="minorEastAsia"/>
          <w:kern w:val="0"/>
          <w:szCs w:val="21"/>
        </w:rPr>
        <w:t>”“</w:t>
      </w:r>
      <w:r>
        <w:rPr>
          <w:rFonts w:cs="Arial" w:asciiTheme="minorEastAsia" w:hAnsiTheme="minorEastAsia"/>
          <w:kern w:val="0"/>
          <w:szCs w:val="21"/>
        </w:rPr>
        <w:t>1</w:t>
      </w:r>
      <w:r>
        <w:rPr>
          <w:rFonts w:hint="eastAsia" w:cs="Arial" w:asciiTheme="minorEastAsia" w:hAnsiTheme="minorEastAsia"/>
          <w:kern w:val="0"/>
          <w:szCs w:val="21"/>
        </w:rPr>
        <w:t>．</w:t>
      </w:r>
      <w:r>
        <w:rPr>
          <w:rFonts w:cs="Arial" w:asciiTheme="minorEastAsia" w:hAnsiTheme="minorEastAsia"/>
          <w:kern w:val="0"/>
          <w:szCs w:val="21"/>
        </w:rPr>
        <w:t>1</w:t>
      </w:r>
      <w:r>
        <w:rPr>
          <w:rFonts w:hint="eastAsia" w:cs="Arial" w:asciiTheme="minorEastAsia" w:hAnsiTheme="minorEastAsia"/>
          <w:kern w:val="0"/>
          <w:szCs w:val="21"/>
        </w:rPr>
        <w:t>”“</w:t>
      </w:r>
      <w:r>
        <w:rPr>
          <w:rFonts w:cs="Arial" w:asciiTheme="minorEastAsia" w:hAnsiTheme="minorEastAsia"/>
          <w:kern w:val="0"/>
          <w:szCs w:val="21"/>
        </w:rPr>
        <w:t>1</w:t>
      </w:r>
      <w:r>
        <w:rPr>
          <w:rFonts w:hint="eastAsia" w:cs="Arial" w:asciiTheme="minorEastAsia" w:hAnsiTheme="minorEastAsia"/>
          <w:kern w:val="0"/>
          <w:szCs w:val="21"/>
        </w:rPr>
        <w:t>．</w:t>
      </w:r>
      <w:r>
        <w:rPr>
          <w:rFonts w:cs="Arial" w:asciiTheme="minorEastAsia" w:hAnsiTheme="minorEastAsia"/>
          <w:kern w:val="0"/>
          <w:szCs w:val="21"/>
        </w:rPr>
        <w:t>1</w:t>
      </w:r>
      <w:r>
        <w:rPr>
          <w:rFonts w:hint="eastAsia" w:cs="Arial" w:asciiTheme="minorEastAsia" w:hAnsiTheme="minorEastAsia"/>
          <w:kern w:val="0"/>
          <w:szCs w:val="21"/>
        </w:rPr>
        <w:t>．</w:t>
      </w:r>
      <w:r>
        <w:rPr>
          <w:rFonts w:cs="Arial" w:asciiTheme="minorEastAsia" w:hAnsiTheme="minorEastAsia"/>
          <w:kern w:val="0"/>
          <w:szCs w:val="21"/>
        </w:rPr>
        <w:t>1</w:t>
      </w:r>
      <w:r>
        <w:rPr>
          <w:rFonts w:hint="eastAsia" w:cs="Arial" w:asciiTheme="minorEastAsia" w:hAnsiTheme="minorEastAsia"/>
          <w:kern w:val="0"/>
          <w:szCs w:val="21"/>
        </w:rPr>
        <w:t>”顺序排列，各级小标题一律左顶格，字数不宜过多；同级小标题不应时有时无。正文按照引言、资料与方法、结果、讨论等次序撰写。文中有效性和安全性方面的重要数据，要清晰表达以方便他人进行分析。</w:t>
      </w:r>
    </w:p>
    <w:p>
      <w:pPr>
        <w:widowControl/>
        <w:spacing w:line="360" w:lineRule="auto"/>
        <w:ind w:firstLine="210" w:firstLineChars="100"/>
        <w:rPr>
          <w:rFonts w:cs="Arial" w:asciiTheme="minorEastAsia" w:hAnsiTheme="minorEastAsia"/>
          <w:kern w:val="0"/>
          <w:szCs w:val="21"/>
        </w:rPr>
      </w:pPr>
      <w:r>
        <w:rPr>
          <w:rFonts w:hint="eastAsia" w:cs="Arial" w:asciiTheme="minorEastAsia" w:hAnsiTheme="minorEastAsia"/>
          <w:kern w:val="0"/>
          <w:szCs w:val="21"/>
        </w:rPr>
        <w:t>（1）引言：阐述文章的目的，概述研究和观察的理论基础，国内外对该项研究的现状，已经解决的问题，尚未解决的问题，尽量引用参考文献。勿需对主题展开回顾，不要包括已经发表过的数据或结论。</w:t>
      </w:r>
    </w:p>
    <w:p>
      <w:pPr>
        <w:widowControl/>
        <w:spacing w:line="360" w:lineRule="auto"/>
        <w:ind w:firstLine="210" w:firstLineChars="100"/>
        <w:rPr>
          <w:rFonts w:cs="Arial" w:asciiTheme="minorEastAsia" w:hAnsiTheme="minorEastAsia"/>
          <w:kern w:val="0"/>
          <w:szCs w:val="21"/>
        </w:rPr>
      </w:pPr>
      <w:r>
        <w:rPr>
          <w:rFonts w:hint="eastAsia" w:cs="Arial" w:asciiTheme="minorEastAsia" w:hAnsiTheme="minorEastAsia"/>
          <w:kern w:val="0"/>
          <w:szCs w:val="21"/>
        </w:rPr>
        <w:t>（2）</w:t>
      </w:r>
      <w:r>
        <w:rPr>
          <w:rStyle w:val="14"/>
          <w:rFonts w:hint="default" w:asciiTheme="minorEastAsia" w:hAnsiTheme="minorEastAsia" w:eastAsiaTheme="minorEastAsia"/>
          <w:color w:val="auto"/>
          <w:sz w:val="21"/>
          <w:szCs w:val="21"/>
        </w:rPr>
        <w:t>实验材料：</w:t>
      </w:r>
      <w:r>
        <w:rPr>
          <w:rFonts w:cs="Arial" w:asciiTheme="minorEastAsia" w:hAnsiTheme="minorEastAsia"/>
          <w:kern w:val="0"/>
          <w:szCs w:val="21"/>
        </w:rPr>
        <w:t>药物、试剂、动物、植物、主要仪器应说明来源</w:t>
      </w:r>
      <w:r>
        <w:rPr>
          <w:rFonts w:hint="eastAsia" w:cs="Arial" w:asciiTheme="minorEastAsia" w:hAnsiTheme="minorEastAsia"/>
          <w:kern w:val="0"/>
          <w:szCs w:val="21"/>
        </w:rPr>
        <w:t>、品种</w:t>
      </w:r>
      <w:r>
        <w:rPr>
          <w:rFonts w:cs="Arial" w:asciiTheme="minorEastAsia" w:hAnsiTheme="minorEastAsia"/>
          <w:kern w:val="0"/>
          <w:szCs w:val="21"/>
        </w:rPr>
        <w:t>及规格。研究对象 (动植物、微生物) 应注明拉丁学名，植物标本应说明鉴定人及存放地点。实验动物应标明清洁级和合格证号。实验动物或人的性别、年龄和实际测得的体重应该用均值±标准差及可信区间表示。</w:t>
      </w:r>
    </w:p>
    <w:p>
      <w:pPr>
        <w:widowControl/>
        <w:spacing w:line="360" w:lineRule="auto"/>
        <w:ind w:firstLine="210" w:firstLineChars="100"/>
        <w:rPr>
          <w:rFonts w:cs="Arial" w:asciiTheme="minorEastAsia" w:hAnsiTheme="minorEastAsia"/>
          <w:kern w:val="0"/>
          <w:szCs w:val="21"/>
        </w:rPr>
      </w:pPr>
      <w:r>
        <w:rPr>
          <w:rFonts w:hint="eastAsia" w:cs="Arial" w:asciiTheme="minorEastAsia" w:hAnsiTheme="minorEastAsia"/>
          <w:bCs/>
          <w:kern w:val="0"/>
          <w:szCs w:val="21"/>
        </w:rPr>
        <w:t>（3）</w:t>
      </w:r>
      <w:r>
        <w:rPr>
          <w:rFonts w:cs="Arial" w:asciiTheme="minorEastAsia" w:hAnsiTheme="minorEastAsia"/>
          <w:bCs/>
          <w:kern w:val="0"/>
          <w:szCs w:val="21"/>
        </w:rPr>
        <w:t>实验方法</w:t>
      </w:r>
      <w:r>
        <w:rPr>
          <w:rFonts w:hint="eastAsia" w:cs="Arial" w:asciiTheme="minorEastAsia" w:hAnsiTheme="minorEastAsia"/>
          <w:bCs/>
          <w:kern w:val="0"/>
          <w:szCs w:val="21"/>
        </w:rPr>
        <w:t>：</w:t>
      </w:r>
      <w:r>
        <w:rPr>
          <w:rFonts w:cs="Arial" w:asciiTheme="minorEastAsia" w:hAnsiTheme="minorEastAsia"/>
          <w:kern w:val="0"/>
          <w:szCs w:val="21"/>
        </w:rPr>
        <w:t>尽量简洁明了，数据报道注意有效数字位数和精度。凡文献已有记述的方法，一般可引用文献。对新的或有实质性改进的方法要写明改进处。如果是自己创新的方法，则宜详述，以便他人重复。</w:t>
      </w:r>
      <w:r>
        <w:rPr>
          <w:rFonts w:hint="eastAsia" w:cs="Arial" w:asciiTheme="minorEastAsia" w:hAnsiTheme="minorEastAsia"/>
          <w:kern w:val="0"/>
          <w:szCs w:val="21"/>
        </w:rPr>
        <w:t>清楚地描述观察或实验对象（病人或实验动物，包括对照组）的选择情况，详述实验方法及步骤，仪器应注明制造厂商、厂址，以便他人重复验证。准确说明药物和化学品的使用方法，包括商品名称、剂量以及给药途径。所用的材料、药品、食品、动物均需标明出处、批号、性别等。</w:t>
      </w:r>
      <w:r>
        <w:rPr>
          <w:rFonts w:cs="Arial" w:asciiTheme="minorEastAsia" w:hAnsiTheme="minorEastAsia"/>
          <w:kern w:val="0"/>
          <w:szCs w:val="21"/>
        </w:rPr>
        <w:t>药品不良反应的个案报道要写明药品生产厂</w:t>
      </w:r>
      <w:r>
        <w:rPr>
          <w:rFonts w:hint="eastAsia" w:cs="Arial" w:asciiTheme="minorEastAsia" w:hAnsiTheme="minorEastAsia"/>
          <w:kern w:val="0"/>
          <w:szCs w:val="21"/>
        </w:rPr>
        <w:t>家</w:t>
      </w:r>
      <w:r>
        <w:rPr>
          <w:rFonts w:cs="Arial" w:asciiTheme="minorEastAsia" w:hAnsiTheme="minorEastAsia"/>
          <w:kern w:val="0"/>
          <w:szCs w:val="21"/>
        </w:rPr>
        <w:t>和批号</w:t>
      </w:r>
      <w:r>
        <w:rPr>
          <w:rFonts w:hint="eastAsia" w:cs="Arial" w:asciiTheme="minorEastAsia" w:hAnsiTheme="minorEastAsia"/>
          <w:kern w:val="0"/>
          <w:szCs w:val="21"/>
        </w:rPr>
        <w:t>。</w:t>
      </w:r>
    </w:p>
    <w:p>
      <w:pPr>
        <w:widowControl/>
        <w:spacing w:line="360" w:lineRule="auto"/>
        <w:ind w:firstLine="315" w:firstLineChars="150"/>
        <w:rPr>
          <w:rFonts w:cs="Arial" w:asciiTheme="minorEastAsia" w:hAnsiTheme="minorEastAsia"/>
          <w:kern w:val="0"/>
          <w:szCs w:val="21"/>
        </w:rPr>
      </w:pPr>
      <w:r>
        <w:rPr>
          <w:rFonts w:hint="eastAsia" w:cs="Arial" w:asciiTheme="minorEastAsia" w:hAnsiTheme="minorEastAsia"/>
          <w:bCs/>
          <w:kern w:val="0"/>
          <w:szCs w:val="21"/>
        </w:rPr>
        <w:t>（4）医学伦理：</w:t>
      </w:r>
      <w:r>
        <w:rPr>
          <w:rFonts w:cs="Arial" w:asciiTheme="minorEastAsia" w:hAnsiTheme="minorEastAsia"/>
          <w:kern w:val="0"/>
          <w:szCs w:val="21"/>
        </w:rPr>
        <w:t>当实验以人或动物为研究对象时，作者应当声明。只有符合机构责任委员会的伦理 (道德) 标准或依照1975年制定的赫尔辛基宣言 (1983年修订)，才能进行人体实验；动物实验应符合伦理学标准，并得到伦理委员会的批准。</w:t>
      </w:r>
    </w:p>
    <w:p>
      <w:pPr>
        <w:spacing w:line="360" w:lineRule="auto"/>
        <w:ind w:firstLine="315" w:firstLineChars="150"/>
        <w:rPr>
          <w:rFonts w:cs="Arial" w:asciiTheme="minorEastAsia" w:hAnsiTheme="minorEastAsia"/>
          <w:kern w:val="0"/>
          <w:szCs w:val="21"/>
        </w:rPr>
      </w:pPr>
      <w:r>
        <w:rPr>
          <w:rFonts w:hint="eastAsia" w:cs="Times New Roman" w:asciiTheme="minorEastAsia" w:hAnsiTheme="minorEastAsia"/>
          <w:kern w:val="0"/>
          <w:szCs w:val="21"/>
        </w:rPr>
        <w:t>（5）</w:t>
      </w:r>
      <w:r>
        <w:rPr>
          <w:rFonts w:cs="Arial" w:asciiTheme="minorEastAsia" w:hAnsiTheme="minorEastAsia"/>
          <w:bCs/>
          <w:kern w:val="0"/>
          <w:szCs w:val="21"/>
        </w:rPr>
        <w:t>统计学方法：</w:t>
      </w:r>
      <w:r>
        <w:rPr>
          <w:rFonts w:cs="Arial" w:asciiTheme="minorEastAsia" w:hAnsiTheme="minorEastAsia"/>
          <w:kern w:val="0"/>
          <w:szCs w:val="21"/>
        </w:rPr>
        <w:t>按GB 3358-82《统计学名词及符号》的有关规定书写。用适当的统计学方法对实验结果进行分析，如参数检验法 (t检验、u检验、F检验等)、非参数检验 (拟合优度检验、成对资料的符号检验、秩和检验等)、方差分析、相关与回归分析等。结果应用均数±标准差表示，样本数用n表示。显著性结果以“*</w:t>
      </w:r>
      <w:r>
        <w:rPr>
          <w:rFonts w:cs="Arial" w:asciiTheme="minorEastAsia" w:hAnsiTheme="minorEastAsia"/>
          <w:i/>
          <w:kern w:val="0"/>
          <w:szCs w:val="21"/>
        </w:rPr>
        <w:t>P</w:t>
      </w:r>
      <w:r>
        <w:rPr>
          <w:rFonts w:cs="Arial" w:asciiTheme="minorEastAsia" w:hAnsiTheme="minorEastAsia"/>
          <w:kern w:val="0"/>
          <w:szCs w:val="21"/>
        </w:rPr>
        <w:t>&lt;0.05, **</w:t>
      </w:r>
      <w:r>
        <w:rPr>
          <w:rFonts w:cs="Arial" w:asciiTheme="minorEastAsia" w:hAnsiTheme="minorEastAsia"/>
          <w:i/>
          <w:kern w:val="0"/>
          <w:szCs w:val="21"/>
        </w:rPr>
        <w:t>P</w:t>
      </w:r>
      <w:r>
        <w:rPr>
          <w:rFonts w:cs="Arial" w:asciiTheme="minorEastAsia" w:hAnsiTheme="minorEastAsia"/>
          <w:kern w:val="0"/>
          <w:szCs w:val="21"/>
        </w:rPr>
        <w:t>&lt;0.01, ***</w:t>
      </w:r>
      <w:r>
        <w:rPr>
          <w:rFonts w:cs="Arial" w:asciiTheme="minorEastAsia" w:hAnsiTheme="minorEastAsia"/>
          <w:i/>
          <w:kern w:val="0"/>
          <w:szCs w:val="21"/>
        </w:rPr>
        <w:t>P</w:t>
      </w:r>
      <w:r>
        <w:rPr>
          <w:rFonts w:cs="Arial" w:asciiTheme="minorEastAsia" w:hAnsiTheme="minorEastAsia"/>
          <w:kern w:val="0"/>
          <w:szCs w:val="21"/>
        </w:rPr>
        <w:t>&lt;0.001 vs A; △</w:t>
      </w:r>
      <w:r>
        <w:rPr>
          <w:rFonts w:cs="Arial" w:asciiTheme="minorEastAsia" w:hAnsiTheme="minorEastAsia"/>
          <w:i/>
          <w:kern w:val="0"/>
          <w:szCs w:val="21"/>
        </w:rPr>
        <w:t>P</w:t>
      </w:r>
      <w:r>
        <w:rPr>
          <w:rFonts w:cs="Arial" w:asciiTheme="minorEastAsia" w:hAnsiTheme="minorEastAsia"/>
          <w:kern w:val="0"/>
          <w:szCs w:val="21"/>
        </w:rPr>
        <w:t>&lt;0.05, △△</w:t>
      </w:r>
      <w:r>
        <w:rPr>
          <w:rFonts w:cs="Arial" w:asciiTheme="minorEastAsia" w:hAnsiTheme="minorEastAsia"/>
          <w:i/>
          <w:kern w:val="0"/>
          <w:szCs w:val="21"/>
        </w:rPr>
        <w:t>P</w:t>
      </w:r>
      <w:r>
        <w:rPr>
          <w:rFonts w:cs="Arial" w:asciiTheme="minorEastAsia" w:hAnsiTheme="minorEastAsia"/>
          <w:kern w:val="0"/>
          <w:szCs w:val="21"/>
        </w:rPr>
        <w:t>&lt;0.01, △△△</w:t>
      </w:r>
      <w:r>
        <w:rPr>
          <w:rFonts w:cs="Arial" w:asciiTheme="minorEastAsia" w:hAnsiTheme="minorEastAsia"/>
          <w:i/>
          <w:kern w:val="0"/>
          <w:szCs w:val="21"/>
        </w:rPr>
        <w:t>P</w:t>
      </w:r>
      <w:r>
        <w:rPr>
          <w:rFonts w:cs="Arial" w:asciiTheme="minorEastAsia" w:hAnsiTheme="minorEastAsia"/>
          <w:kern w:val="0"/>
          <w:szCs w:val="21"/>
        </w:rPr>
        <w:t>&lt;0.001 vs B”表示。</w:t>
      </w:r>
    </w:p>
    <w:p>
      <w:pPr>
        <w:spacing w:line="360" w:lineRule="auto"/>
        <w:ind w:firstLine="315" w:firstLineChars="150"/>
        <w:rPr>
          <w:rFonts w:cs="Times New Roman" w:asciiTheme="minorEastAsia" w:hAnsiTheme="minorEastAsia"/>
          <w:kern w:val="0"/>
          <w:szCs w:val="21"/>
        </w:rPr>
      </w:pPr>
      <w:r>
        <w:rPr>
          <w:rFonts w:hint="eastAsia" w:cs="Times New Roman" w:asciiTheme="minorEastAsia" w:hAnsiTheme="minorEastAsia"/>
          <w:kern w:val="0"/>
          <w:szCs w:val="21"/>
        </w:rPr>
        <w:t>（6）结果：按照逻辑顺序在正文、表格和图中表述所得结果，文字叙述时，无需重复图表中的全部数据，也不要详述，只需强调或概括其重要发现。</w:t>
      </w:r>
    </w:p>
    <w:p>
      <w:pPr>
        <w:spacing w:line="360" w:lineRule="auto"/>
        <w:ind w:firstLine="315" w:firstLineChars="150"/>
        <w:rPr>
          <w:rFonts w:cs="Times New Roman" w:asciiTheme="minorEastAsia" w:hAnsiTheme="minorEastAsia"/>
          <w:kern w:val="0"/>
          <w:szCs w:val="21"/>
        </w:rPr>
      </w:pPr>
      <w:r>
        <w:rPr>
          <w:rFonts w:hint="eastAsia" w:cs="Times New Roman" w:asciiTheme="minorEastAsia" w:hAnsiTheme="minorEastAsia"/>
          <w:kern w:val="0"/>
          <w:szCs w:val="21"/>
        </w:rPr>
        <w:t>（7）讨论：着重讨论研究中的重要方面和新的发现以及从中得出的结论，不必重述已在引言和结果部分详述过的数据或其他材料。讨论中应包括此次的新发现和不足，进一步研究的启示，并将观察结果与其他有关的研究相联系。应当避免交待不成熟的论点和不足以为自己的资料所支持的结论。避免工作尚未完成就提出或者暗示要求首创权。有充足理由时可提出新的假说，但应恰如其分。</w:t>
      </w:r>
    </w:p>
    <w:p>
      <w:pPr>
        <w:spacing w:line="360" w:lineRule="auto"/>
        <w:ind w:firstLine="315" w:firstLineChars="150"/>
        <w:rPr>
          <w:rFonts w:hint="eastAsia" w:cs="Times New Roman" w:asciiTheme="minorEastAsia" w:hAnsiTheme="minorEastAsia"/>
          <w:kern w:val="0"/>
          <w:szCs w:val="21"/>
        </w:rPr>
      </w:pPr>
      <w:r>
        <w:rPr>
          <w:rFonts w:hint="eastAsia" w:cs="Times New Roman" w:asciiTheme="minorEastAsia" w:hAnsiTheme="minorEastAsia"/>
          <w:kern w:val="0"/>
          <w:szCs w:val="21"/>
        </w:rPr>
        <w:t>（8）致谢：对论文仅作过某种帮助，或协助作了某项工作，则不一定按作者身份署名，可在文末以致谢的方式对他们的工作表示谢意。放在文章最后，定格放置。</w:t>
      </w:r>
    </w:p>
    <w:p>
      <w:pPr>
        <w:spacing w:line="360" w:lineRule="auto"/>
        <w:ind w:firstLine="316" w:firstLineChars="150"/>
        <w:rPr>
          <w:rFonts w:hint="eastAsia" w:cs="Times New Roman" w:asciiTheme="minorEastAsia" w:hAnsiTheme="minorEastAsia"/>
          <w:kern w:val="0"/>
          <w:szCs w:val="21"/>
        </w:rPr>
      </w:pPr>
      <w:r>
        <w:rPr>
          <w:rFonts w:hint="eastAsia" w:cs="Times New Roman" w:asciiTheme="minorEastAsia" w:hAnsiTheme="minorEastAsia"/>
          <w:b/>
          <w:bCs/>
          <w:kern w:val="0"/>
          <w:szCs w:val="21"/>
        </w:rPr>
        <w:t>9.参考文献：</w:t>
      </w:r>
      <w:r>
        <w:rPr>
          <w:rFonts w:hint="eastAsia" w:cs="Times New Roman" w:asciiTheme="minorEastAsia" w:hAnsiTheme="minorEastAsia"/>
          <w:kern w:val="0"/>
          <w:szCs w:val="21"/>
        </w:rPr>
        <w:t>以作者亲自阅读过的近期发表的主要原始文献为限，不能引用其他文章中引用的但未经核对原文的文献。每篇文章不少于15条参考文献，其中50%为近3年发表的参考文献。在引文处按引用文献出现的先后顺序用阿拉伯数字依次编号，将序号置于方括号内，以上标形式放置。参考文献著录按文章中引用的顺序依次排列，每条著录项目应齐全。文后中文参考文献须为中英双语形式，中译英后的文献须注明中文书名和期刊名。文献作者3人以下，全部列出；3人以上，只列出前3名，其后加“等”或“et al”；姓在前，名缩写在后，作者之间用“，”分开。期刊名缩写参照“Chemical Abstract Service Source Index” (CASSI)。举例：</w:t>
      </w:r>
    </w:p>
    <w:p>
      <w:pPr>
        <w:spacing w:line="360" w:lineRule="auto"/>
        <w:ind w:firstLine="315" w:firstLineChars="150"/>
        <w:rPr>
          <w:rFonts w:hint="eastAsia" w:cs="Times New Roman" w:asciiTheme="minorEastAsia" w:hAnsiTheme="minorEastAsia"/>
          <w:kern w:val="0"/>
          <w:szCs w:val="21"/>
        </w:rPr>
      </w:pPr>
    </w:p>
    <w:p>
      <w:pPr>
        <w:spacing w:line="360" w:lineRule="auto"/>
        <w:ind w:firstLine="316" w:firstLineChars="150"/>
        <w:rPr>
          <w:rFonts w:hint="eastAsia" w:cs="Times New Roman" w:asciiTheme="minorEastAsia" w:hAnsiTheme="minorEastAsia"/>
          <w:b/>
          <w:bCs/>
          <w:kern w:val="0"/>
          <w:szCs w:val="21"/>
        </w:rPr>
      </w:pPr>
      <w:r>
        <w:rPr>
          <w:rFonts w:hint="eastAsia" w:cs="Times New Roman" w:asciiTheme="minorEastAsia" w:hAnsiTheme="minorEastAsia"/>
          <w:b/>
          <w:bCs/>
          <w:kern w:val="0"/>
          <w:szCs w:val="21"/>
        </w:rPr>
        <w:t>（</w:t>
      </w:r>
      <w:r>
        <w:rPr>
          <w:rFonts w:hint="eastAsia" w:cs="Times New Roman" w:asciiTheme="minorEastAsia" w:hAnsiTheme="minorEastAsia"/>
          <w:b/>
          <w:bCs/>
          <w:kern w:val="0"/>
          <w:szCs w:val="21"/>
          <w:lang w:val="en-US" w:eastAsia="zh-CN"/>
        </w:rPr>
        <w:t>1</w:t>
      </w:r>
      <w:r>
        <w:rPr>
          <w:rFonts w:hint="eastAsia" w:cs="Times New Roman" w:asciiTheme="minorEastAsia" w:hAnsiTheme="minorEastAsia"/>
          <w:b/>
          <w:bCs/>
          <w:kern w:val="0"/>
          <w:szCs w:val="21"/>
        </w:rPr>
        <w:t>）期刊中析出的文献</w:t>
      </w:r>
    </w:p>
    <w:tbl>
      <w:tblPr>
        <w:tblStyle w:val="6"/>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中</w:t>
            </w:r>
          </w:p>
        </w:tc>
        <w:tc>
          <w:tcPr>
            <w:tcW w:w="7676" w:type="dxa"/>
            <w:noWrap w:val="0"/>
            <w:vAlign w:val="top"/>
          </w:tcPr>
          <w:p>
            <w:pPr>
              <w:keepNext w:val="0"/>
              <w:keepLines w:val="0"/>
              <w:pageBreakBefore w:val="0"/>
              <w:widowControl w:val="0"/>
              <w:numPr>
                <w:ilvl w:val="0"/>
                <w:numId w:val="2"/>
              </w:numPr>
              <w:kinsoku/>
              <w:wordWrap w:val="0"/>
              <w:overflowPunct/>
              <w:topLinePunct w:val="0"/>
              <w:autoSpaceDE/>
              <w:autoSpaceDN/>
              <w:bidi w:val="0"/>
              <w:adjustRightInd/>
              <w:snapToGrid/>
              <w:spacing w:line="240" w:lineRule="auto"/>
              <w:textAlignment w:val="auto"/>
              <w:rPr>
                <w:rFonts w:hint="eastAsia"/>
              </w:rPr>
            </w:pPr>
            <w:r>
              <w:rPr>
                <w:rFonts w:ascii="Times New Roman" w:hAnsi="Times New Roman"/>
                <w:color w:val="000000"/>
                <w:szCs w:val="21"/>
                <w:shd w:val="clear" w:color="auto" w:fill="FFFFFF"/>
              </w:rPr>
              <w:t>刘宪军,付娜.109例头孢哌酮钠舒巴坦钠不良反应报告分析[J].中国药物警戒,2014,11(6):355-357.</w:t>
            </w:r>
          </w:p>
          <w:p>
            <w:pPr>
              <w:keepNext w:val="0"/>
              <w:keepLines w:val="0"/>
              <w:pageBreakBefore w:val="0"/>
              <w:widowControl w:val="0"/>
              <w:numPr>
                <w:ilvl w:val="0"/>
                <w:numId w:val="0"/>
              </w:numPr>
              <w:kinsoku/>
              <w:wordWrap w:val="0"/>
              <w:overflowPunct/>
              <w:topLinePunct w:val="0"/>
              <w:autoSpaceDE/>
              <w:autoSpaceDN/>
              <w:bidi w:val="0"/>
              <w:adjustRightInd/>
              <w:snapToGrid/>
              <w:spacing w:line="240" w:lineRule="auto"/>
              <w:jc w:val="both"/>
              <w:textAlignment w:val="auto"/>
              <w:rPr>
                <w:rFonts w:hint="eastAsia"/>
                <w:vertAlign w:val="baseline"/>
              </w:rPr>
            </w:pPr>
            <w:r>
              <w:rPr>
                <w:rFonts w:hint="eastAsia"/>
              </w:rPr>
              <w:t>[1]</w:t>
            </w:r>
            <w:r>
              <w:rPr>
                <w:rFonts w:hint="eastAsia"/>
                <w:lang w:val="en-US" w:eastAsia="zh-CN"/>
              </w:rPr>
              <w:t xml:space="preserve"> LIU XJ, FU N. Analysis of 109 reports of adverse drug reaction reports of cefoperazone sodium and sulbactam sodium for injection[J]. Chinese Journal of Pharmacovigilance（中国药物警戒）, 2014, 11(6): 355-357.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英</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rPr>
            </w:pPr>
            <w:r>
              <w:rPr>
                <w:rFonts w:hint="eastAsia"/>
              </w:rPr>
              <w:t>[</w:t>
            </w:r>
            <w:r>
              <w:rPr>
                <w:rFonts w:hint="eastAsia"/>
                <w:lang w:val="en-US" w:eastAsia="zh-CN"/>
              </w:rPr>
              <w:t>2</w:t>
            </w:r>
            <w:r>
              <w:rPr>
                <w:rFonts w:hint="eastAsia"/>
              </w:rPr>
              <w:t>]</w:t>
            </w:r>
            <w:r>
              <w:rPr>
                <w:rFonts w:hint="eastAsia"/>
                <w:lang w:val="en-US" w:eastAsia="zh-CN"/>
              </w:rPr>
              <w:t xml:space="preserve"> </w:t>
            </w:r>
            <w:r>
              <w:rPr>
                <w:rFonts w:hint="eastAsia"/>
              </w:rPr>
              <w:t>HEWITT JA.</w:t>
            </w:r>
            <w:r>
              <w:rPr>
                <w:rFonts w:hint="eastAsia"/>
                <w:lang w:val="en-US" w:eastAsia="zh-CN"/>
              </w:rPr>
              <w:t xml:space="preserve"> </w:t>
            </w:r>
            <w:r>
              <w:rPr>
                <w:rFonts w:hint="eastAsia"/>
              </w:rPr>
              <w:t>Technical services in 1983[J].</w:t>
            </w:r>
            <w:r>
              <w:rPr>
                <w:rFonts w:hint="eastAsia"/>
                <w:lang w:val="en-US" w:eastAsia="zh-CN"/>
              </w:rPr>
              <w:t xml:space="preserve"> </w:t>
            </w:r>
            <w:r>
              <w:rPr>
                <w:rFonts w:hint="eastAsia"/>
              </w:rPr>
              <w:t>Library Resource Services</w:t>
            </w:r>
            <w:r>
              <w:rPr>
                <w:rFonts w:hint="eastAsia"/>
                <w:lang w:val="en-US" w:eastAsia="zh-CN"/>
              </w:rPr>
              <w:t>,</w:t>
            </w:r>
            <w:r>
              <w:rPr>
                <w:rFonts w:hint="eastAsia"/>
              </w:rPr>
              <w:t xml:space="preserve"> 1984</w:t>
            </w:r>
            <w:r>
              <w:rPr>
                <w:rFonts w:hint="eastAsia"/>
                <w:lang w:val="en-US" w:eastAsia="zh-CN"/>
              </w:rPr>
              <w:t xml:space="preserve">, </w:t>
            </w:r>
            <w:r>
              <w:rPr>
                <w:rFonts w:hint="eastAsia"/>
              </w:rPr>
              <w:t>28(3)</w:t>
            </w:r>
            <w:r>
              <w:rPr>
                <w:rFonts w:hint="eastAsia"/>
                <w:lang w:val="en-US" w:eastAsia="zh-CN"/>
              </w:rPr>
              <w:t xml:space="preserve">: </w:t>
            </w:r>
            <w:r>
              <w:rPr>
                <w:rFonts w:hint="eastAsia"/>
              </w:rPr>
              <w:t>205-218.</w:t>
            </w:r>
          </w:p>
        </w:tc>
      </w:tr>
    </w:tbl>
    <w:p>
      <w:pPr>
        <w:spacing w:line="360" w:lineRule="auto"/>
        <w:ind w:firstLine="316" w:firstLineChars="150"/>
        <w:rPr>
          <w:rFonts w:hint="eastAsia" w:cs="Times New Roman" w:asciiTheme="minorEastAsia" w:hAnsiTheme="minorEastAsia"/>
          <w:b/>
          <w:bCs/>
          <w:kern w:val="0"/>
          <w:szCs w:val="21"/>
        </w:rPr>
      </w:pPr>
      <w:r>
        <w:rPr>
          <w:rFonts w:hint="eastAsia" w:cs="Times New Roman" w:asciiTheme="minorEastAsia" w:hAnsiTheme="minorEastAsia"/>
          <w:b/>
          <w:bCs/>
          <w:kern w:val="0"/>
          <w:szCs w:val="21"/>
        </w:rPr>
        <w:t>（</w:t>
      </w:r>
      <w:r>
        <w:rPr>
          <w:rFonts w:hint="eastAsia" w:cs="Times New Roman" w:asciiTheme="minorEastAsia" w:hAnsiTheme="minorEastAsia"/>
          <w:b/>
          <w:bCs/>
          <w:kern w:val="0"/>
          <w:szCs w:val="21"/>
          <w:lang w:val="en-US" w:eastAsia="zh-CN"/>
        </w:rPr>
        <w:t>2</w:t>
      </w:r>
      <w:r>
        <w:rPr>
          <w:rFonts w:hint="eastAsia" w:cs="Times New Roman" w:asciiTheme="minorEastAsia" w:hAnsiTheme="minorEastAsia"/>
          <w:b/>
          <w:bCs/>
          <w:kern w:val="0"/>
          <w:szCs w:val="21"/>
        </w:rPr>
        <w:t>）普通图书</w:t>
      </w:r>
    </w:p>
    <w:tbl>
      <w:tblPr>
        <w:tblStyle w:val="6"/>
        <w:tblW w:w="0" w:type="auto"/>
        <w:tblInd w:w="4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0"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lang w:val="en-US" w:eastAsia="zh-CN"/>
              </w:rPr>
            </w:pPr>
            <w:r>
              <w:rPr>
                <w:rFonts w:hint="eastAsia"/>
                <w:lang w:eastAsia="zh-CN"/>
              </w:rPr>
              <w:t>中</w:t>
            </w:r>
          </w:p>
        </w:tc>
        <w:tc>
          <w:tcPr>
            <w:tcW w:w="7701" w:type="dxa"/>
            <w:noWrap w:val="0"/>
            <w:vAlign w:val="top"/>
          </w:tcPr>
          <w:p>
            <w:pPr>
              <w:keepNext w:val="0"/>
              <w:keepLines w:val="0"/>
              <w:pageBreakBefore w:val="0"/>
              <w:widowControl w:val="0"/>
              <w:numPr>
                <w:ilvl w:val="0"/>
                <w:numId w:val="3"/>
              </w:numPr>
              <w:kinsoku/>
              <w:wordWrap w:val="0"/>
              <w:overflowPunct/>
              <w:topLinePunct w:val="0"/>
              <w:autoSpaceDE/>
              <w:autoSpaceDN/>
              <w:bidi w:val="0"/>
              <w:adjustRightInd/>
              <w:snapToGrid/>
              <w:textAlignment w:val="auto"/>
              <w:rPr>
                <w:rFonts w:hint="eastAsia"/>
                <w:vertAlign w:val="baseline"/>
                <w:lang w:eastAsia="zh-CN"/>
              </w:rPr>
            </w:pPr>
            <w:r>
              <w:rPr>
                <w:rFonts w:hint="eastAsia"/>
              </w:rPr>
              <w:t>广西壮族自治区林业厅.</w:t>
            </w:r>
            <w:r>
              <w:rPr>
                <w:rFonts w:hint="eastAsia"/>
                <w:lang w:val="en-US" w:eastAsia="zh-CN"/>
              </w:rPr>
              <w:t xml:space="preserve"> </w:t>
            </w:r>
            <w:r>
              <w:rPr>
                <w:rFonts w:hint="eastAsia"/>
              </w:rPr>
              <w:t>广西自然保护</w:t>
            </w:r>
            <w:r>
              <w:rPr>
                <w:rFonts w:hint="eastAsia"/>
                <w:lang w:eastAsia="zh-CN"/>
              </w:rPr>
              <w:t>区</w:t>
            </w:r>
            <w:r>
              <w:rPr>
                <w:rFonts w:hint="eastAsia"/>
              </w:rPr>
              <w:t>[M].</w:t>
            </w:r>
            <w:r>
              <w:rPr>
                <w:rFonts w:hint="eastAsia"/>
                <w:lang w:val="en-US" w:eastAsia="zh-CN"/>
              </w:rPr>
              <w:t xml:space="preserve"> </w:t>
            </w:r>
            <w:r>
              <w:rPr>
                <w:rFonts w:hint="eastAsia"/>
              </w:rPr>
              <w:t>北京</w:t>
            </w:r>
            <w:r>
              <w:rPr>
                <w:rFonts w:hint="eastAsia"/>
                <w:lang w:eastAsia="zh-CN"/>
              </w:rPr>
              <w:t>：</w:t>
            </w:r>
            <w:r>
              <w:rPr>
                <w:rFonts w:hint="eastAsia"/>
              </w:rPr>
              <w:t>中国林业出版社，1993.</w:t>
            </w:r>
          </w:p>
          <w:p>
            <w:pPr>
              <w:keepNext w:val="0"/>
              <w:keepLines w:val="0"/>
              <w:pageBreakBefore w:val="0"/>
              <w:widowControl w:val="0"/>
              <w:numPr>
                <w:ilvl w:val="0"/>
                <w:numId w:val="0"/>
              </w:numPr>
              <w:kinsoku/>
              <w:wordWrap w:val="0"/>
              <w:overflowPunct/>
              <w:topLinePunct w:val="0"/>
              <w:autoSpaceDE/>
              <w:autoSpaceDN/>
              <w:bidi w:val="0"/>
              <w:adjustRightInd/>
              <w:snapToGrid/>
              <w:textAlignment w:val="auto"/>
              <w:rPr>
                <w:rFonts w:hint="eastAsia"/>
                <w:vertAlign w:val="baseline"/>
                <w:lang w:eastAsia="zh-CN"/>
              </w:rPr>
            </w:pPr>
            <w:r>
              <w:rPr>
                <w:rFonts w:hint="eastAsia"/>
                <w:lang w:val="en-US" w:eastAsia="zh-CN"/>
              </w:rPr>
              <w:t>[1] Department of Forestry of Guangxi Zhuang Autonomous Region. Guangxi Nature Reserve</w:t>
            </w:r>
            <w:r>
              <w:rPr>
                <w:rFonts w:hint="eastAsia"/>
              </w:rPr>
              <w:t xml:space="preserve"> </w:t>
            </w:r>
            <w:r>
              <w:rPr>
                <w:rFonts w:hint="eastAsia"/>
                <w:lang w:eastAsia="zh-CN"/>
              </w:rPr>
              <w:t>（广西自然保护区）</w:t>
            </w:r>
            <w:r>
              <w:rPr>
                <w:rFonts w:hint="eastAsia"/>
              </w:rPr>
              <w:t>[M]</w:t>
            </w:r>
            <w:r>
              <w:rPr>
                <w:rFonts w:hint="eastAsia"/>
                <w:lang w:val="en-US" w:eastAsia="zh-CN"/>
              </w:rPr>
              <w:t xml:space="preserve">. Beijing: China Forestry Publishing House, </w:t>
            </w:r>
            <w:r>
              <w:rPr>
                <w:rFonts w:hint="eastAsia"/>
              </w:rPr>
              <w:t>1993</w:t>
            </w:r>
            <w:r>
              <w:rPr>
                <w:rFonts w:hint="eastAsia"/>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0"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lang w:eastAsia="zh-CN"/>
              </w:rPr>
            </w:pPr>
            <w:r>
              <w:rPr>
                <w:rFonts w:hint="eastAsia"/>
                <w:lang w:eastAsia="zh-CN"/>
              </w:rPr>
              <w:t>英</w:t>
            </w:r>
          </w:p>
        </w:tc>
        <w:tc>
          <w:tcPr>
            <w:tcW w:w="7701"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lang w:eastAsia="zh-CN"/>
              </w:rPr>
            </w:pPr>
            <w:r>
              <w:rPr>
                <w:rFonts w:hint="eastAsia" w:asciiTheme="minorAscii"/>
              </w:rPr>
              <w:t>[2</w:t>
            </w:r>
            <w:r>
              <w:rPr>
                <w:rFonts w:hint="eastAsia" w:asciiTheme="minorAscii"/>
                <w:lang w:val="en-US" w:eastAsia="zh-CN"/>
              </w:rPr>
              <w:t xml:space="preserve">] </w:t>
            </w:r>
            <w:r>
              <w:rPr>
                <w:rFonts w:hint="eastAsia" w:asciiTheme="minorAscii"/>
              </w:rPr>
              <w:t>O’BRIEN JA. Introduction to information systems[M]. 7th ed.</w:t>
            </w:r>
            <w:r>
              <w:rPr>
                <w:rFonts w:hint="eastAsia" w:asciiTheme="minorAscii"/>
                <w:lang w:val="en-US" w:eastAsia="zh-CN"/>
              </w:rPr>
              <w:t xml:space="preserve"> </w:t>
            </w:r>
            <w:r>
              <w:rPr>
                <w:rFonts w:hint="eastAsia" w:asciiTheme="minorAscii"/>
              </w:rPr>
              <w:t>Burr Ridge</w:t>
            </w:r>
            <w:r>
              <w:rPr>
                <w:rFonts w:hint="eastAsia" w:asciiTheme="minorAscii"/>
                <w:lang w:val="en-US" w:eastAsia="zh-CN"/>
              </w:rPr>
              <w:t xml:space="preserve">, </w:t>
            </w:r>
            <w:r>
              <w:rPr>
                <w:rFonts w:hint="eastAsia" w:asciiTheme="minorAscii"/>
              </w:rPr>
              <w:t>III.</w:t>
            </w:r>
            <w:r>
              <w:rPr>
                <w:rFonts w:hint="eastAsia" w:asciiTheme="minorAscii"/>
                <w:lang w:val="en-US" w:eastAsia="zh-CN"/>
              </w:rPr>
              <w:t xml:space="preserve">: </w:t>
            </w:r>
            <w:r>
              <w:rPr>
                <w:rFonts w:hint="eastAsia" w:asciiTheme="minorAscii"/>
              </w:rPr>
              <w:t>Irwin，1994.</w:t>
            </w:r>
          </w:p>
        </w:tc>
      </w:tr>
    </w:tbl>
    <w:p>
      <w:pPr>
        <w:spacing w:line="360" w:lineRule="auto"/>
        <w:ind w:firstLine="316" w:firstLineChars="150"/>
        <w:rPr>
          <w:rFonts w:hint="eastAsia" w:cs="Times New Roman" w:asciiTheme="minorEastAsia" w:hAnsiTheme="minorEastAsia"/>
          <w:b/>
          <w:bCs/>
          <w:kern w:val="0"/>
          <w:szCs w:val="21"/>
        </w:rPr>
      </w:pPr>
      <w:r>
        <w:rPr>
          <w:rFonts w:hint="eastAsia" w:cs="Times New Roman" w:asciiTheme="minorEastAsia" w:hAnsiTheme="minorEastAsia"/>
          <w:b/>
          <w:bCs/>
          <w:kern w:val="0"/>
          <w:szCs w:val="21"/>
          <w:lang w:eastAsia="zh-CN"/>
        </w:rPr>
        <w:t>（</w:t>
      </w:r>
      <w:r>
        <w:rPr>
          <w:rFonts w:hint="eastAsia" w:cs="Times New Roman" w:asciiTheme="minorEastAsia" w:hAnsiTheme="minorEastAsia"/>
          <w:b/>
          <w:bCs/>
          <w:kern w:val="0"/>
          <w:szCs w:val="21"/>
          <w:lang w:val="en-US" w:eastAsia="zh-CN"/>
        </w:rPr>
        <w:t>3</w:t>
      </w:r>
      <w:r>
        <w:rPr>
          <w:rFonts w:hint="eastAsia" w:cs="Times New Roman" w:asciiTheme="minorEastAsia" w:hAnsiTheme="minorEastAsia"/>
          <w:b/>
          <w:bCs/>
          <w:kern w:val="0"/>
          <w:szCs w:val="21"/>
          <w:lang w:eastAsia="zh-CN"/>
        </w:rPr>
        <w:t>）</w:t>
      </w:r>
      <w:r>
        <w:rPr>
          <w:rFonts w:hint="eastAsia" w:cs="Times New Roman" w:asciiTheme="minorEastAsia" w:hAnsiTheme="minorEastAsia"/>
          <w:b/>
          <w:bCs/>
          <w:kern w:val="0"/>
          <w:szCs w:val="21"/>
        </w:rPr>
        <w:t>论文集、会议录</w:t>
      </w:r>
    </w:p>
    <w:tbl>
      <w:tblPr>
        <w:tblStyle w:val="6"/>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中</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rPr>
            </w:pPr>
            <w:r>
              <w:rPr>
                <w:rFonts w:hint="eastAsia"/>
              </w:rPr>
              <w:t>[1]</w:t>
            </w:r>
            <w:r>
              <w:rPr>
                <w:rFonts w:hint="eastAsia"/>
                <w:lang w:val="en-US" w:eastAsia="zh-CN"/>
              </w:rPr>
              <w:t xml:space="preserve"> </w:t>
            </w:r>
            <w:r>
              <w:rPr>
                <w:rFonts w:hint="eastAsia"/>
              </w:rPr>
              <w:t>中国力学学会.</w:t>
            </w:r>
            <w:r>
              <w:rPr>
                <w:rFonts w:hint="eastAsia"/>
                <w:lang w:val="en-US" w:eastAsia="zh-CN"/>
              </w:rPr>
              <w:t xml:space="preserve"> </w:t>
            </w:r>
            <w:r>
              <w:rPr>
                <w:rFonts w:hint="eastAsia"/>
              </w:rPr>
              <w:t>第3届全国实验流体力学学术会议论文集[C].</w:t>
            </w:r>
            <w:r>
              <w:rPr>
                <w:rFonts w:hint="eastAsia"/>
                <w:lang w:val="en-US" w:eastAsia="zh-CN"/>
              </w:rPr>
              <w:t xml:space="preserve"> </w:t>
            </w:r>
            <w:r>
              <w:rPr>
                <w:rFonts w:hint="eastAsia"/>
              </w:rPr>
              <w:t>天津：</w:t>
            </w:r>
            <w:r>
              <w:rPr>
                <w:rFonts w:hint="eastAsia"/>
                <w:lang w:eastAsia="zh-CN"/>
              </w:rPr>
              <w:t>天津大学出版社</w:t>
            </w:r>
            <w:r>
              <w:rPr>
                <w:rFonts w:hint="eastAsia"/>
              </w:rPr>
              <w:t>，1990.</w:t>
            </w:r>
          </w:p>
          <w:p>
            <w:pPr>
              <w:keepNext w:val="0"/>
              <w:keepLines w:val="0"/>
              <w:pageBreakBefore w:val="0"/>
              <w:widowControl w:val="0"/>
              <w:kinsoku/>
              <w:wordWrap w:val="0"/>
              <w:overflowPunct/>
              <w:topLinePunct w:val="0"/>
              <w:autoSpaceDE/>
              <w:autoSpaceDN/>
              <w:bidi w:val="0"/>
              <w:adjustRightInd/>
              <w:snapToGrid/>
              <w:textAlignment w:val="auto"/>
              <w:rPr>
                <w:rFonts w:hint="eastAsia" w:eastAsia="宋体"/>
                <w:vertAlign w:val="baseline"/>
                <w:lang w:val="en-US" w:eastAsia="zh-CN"/>
              </w:rPr>
            </w:pPr>
            <w:r>
              <w:rPr>
                <w:rFonts w:hint="eastAsia"/>
              </w:rPr>
              <w:t>[1]</w:t>
            </w:r>
            <w:r>
              <w:rPr>
                <w:rFonts w:hint="eastAsia"/>
                <w:lang w:val="en-US" w:eastAsia="zh-CN"/>
              </w:rPr>
              <w:t xml:space="preserve"> The Chinese Society of Theoretical and Applied Mechanics. Proceedings of the 3rd National Experimental Fluid Mechanics Conference（</w:t>
            </w:r>
            <w:r>
              <w:rPr>
                <w:rFonts w:hint="eastAsia"/>
              </w:rPr>
              <w:t>第3届全国实验流体力学学术会议论文集</w:t>
            </w:r>
            <w:r>
              <w:rPr>
                <w:rFonts w:hint="eastAsia"/>
                <w:lang w:val="en-US" w:eastAsia="zh-CN"/>
              </w:rPr>
              <w:t>）</w:t>
            </w:r>
            <w:r>
              <w:rPr>
                <w:rFonts w:hint="eastAsia"/>
              </w:rPr>
              <w:t>[C].</w:t>
            </w:r>
            <w:r>
              <w:rPr>
                <w:rFonts w:hint="eastAsia"/>
                <w:lang w:val="en-US" w:eastAsia="zh-CN"/>
              </w:rPr>
              <w:t xml:space="preserve"> Tianjin: Tianjin University Press, </w:t>
            </w:r>
            <w:r>
              <w:rPr>
                <w:rFonts w:hint="eastAsia"/>
              </w:rPr>
              <w:t>1990.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英</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rPr>
            </w:pPr>
            <w:r>
              <w:rPr>
                <w:rFonts w:hint="eastAsia"/>
              </w:rPr>
              <w:t>[2]</w:t>
            </w:r>
            <w:r>
              <w:rPr>
                <w:rFonts w:hint="eastAsia"/>
                <w:lang w:val="en-US" w:eastAsia="zh-CN"/>
              </w:rPr>
              <w:t xml:space="preserve"> </w:t>
            </w:r>
            <w:r>
              <w:rPr>
                <w:rFonts w:hint="eastAsia"/>
              </w:rPr>
              <w:t>ROSENTHALL EM.</w:t>
            </w:r>
            <w:r>
              <w:rPr>
                <w:rFonts w:hint="eastAsia"/>
                <w:lang w:val="en-US" w:eastAsia="zh-CN"/>
              </w:rPr>
              <w:t xml:space="preserve"> </w:t>
            </w:r>
            <w:r>
              <w:rPr>
                <w:rFonts w:hint="eastAsia"/>
              </w:rPr>
              <w:t>Proceedings of the Fifth Canadian Mathematical Congress</w:t>
            </w:r>
            <w:r>
              <w:rPr>
                <w:rFonts w:hint="eastAsia"/>
                <w:lang w:val="en-US" w:eastAsia="zh-CN"/>
              </w:rPr>
              <w:t xml:space="preserve">, </w:t>
            </w:r>
            <w:r>
              <w:rPr>
                <w:rFonts w:hint="eastAsia"/>
              </w:rPr>
              <w:t>University of Montreal</w:t>
            </w:r>
            <w:r>
              <w:rPr>
                <w:rFonts w:hint="eastAsia"/>
                <w:lang w:val="en-US" w:eastAsia="zh-CN"/>
              </w:rPr>
              <w:t xml:space="preserve">, </w:t>
            </w:r>
            <w:r>
              <w:rPr>
                <w:rFonts w:hint="eastAsia"/>
              </w:rPr>
              <w:t>1961[C]. Toronto</w:t>
            </w:r>
            <w:r>
              <w:rPr>
                <w:rFonts w:hint="eastAsia"/>
                <w:lang w:val="en-US" w:eastAsia="zh-CN"/>
              </w:rPr>
              <w:t xml:space="preserve">: </w:t>
            </w:r>
            <w:r>
              <w:rPr>
                <w:rFonts w:hint="eastAsia"/>
              </w:rPr>
              <w:t>University of Toronto Press</w:t>
            </w:r>
            <w:r>
              <w:rPr>
                <w:rFonts w:hint="eastAsia"/>
                <w:lang w:val="en-US" w:eastAsia="zh-CN"/>
              </w:rPr>
              <w:t xml:space="preserve">, </w:t>
            </w:r>
            <w:r>
              <w:rPr>
                <w:rFonts w:hint="eastAsia"/>
              </w:rPr>
              <w:t>1963.</w:t>
            </w:r>
          </w:p>
        </w:tc>
      </w:tr>
    </w:tbl>
    <w:p>
      <w:pPr>
        <w:spacing w:line="360" w:lineRule="auto"/>
        <w:ind w:firstLine="316" w:firstLineChars="150"/>
        <w:rPr>
          <w:rFonts w:hint="eastAsia" w:cs="Times New Roman" w:asciiTheme="minorEastAsia" w:hAnsiTheme="minorEastAsia"/>
          <w:b/>
          <w:bCs/>
          <w:kern w:val="0"/>
          <w:szCs w:val="21"/>
          <w:lang w:eastAsia="zh-CN"/>
        </w:rPr>
      </w:pPr>
      <w:r>
        <w:rPr>
          <w:rFonts w:hint="eastAsia" w:cs="Times New Roman" w:asciiTheme="minorEastAsia" w:hAnsiTheme="minorEastAsia"/>
          <w:b/>
          <w:bCs/>
          <w:kern w:val="0"/>
          <w:szCs w:val="21"/>
          <w:lang w:eastAsia="zh-CN"/>
        </w:rPr>
        <w:t>（</w:t>
      </w:r>
      <w:r>
        <w:rPr>
          <w:rFonts w:hint="eastAsia" w:cs="Times New Roman" w:asciiTheme="minorEastAsia" w:hAnsiTheme="minorEastAsia"/>
          <w:b/>
          <w:bCs/>
          <w:kern w:val="0"/>
          <w:szCs w:val="21"/>
          <w:lang w:val="en-US" w:eastAsia="zh-CN"/>
        </w:rPr>
        <w:t>4</w:t>
      </w:r>
      <w:r>
        <w:rPr>
          <w:rFonts w:hint="eastAsia" w:cs="Times New Roman" w:asciiTheme="minorEastAsia" w:hAnsiTheme="minorEastAsia"/>
          <w:b/>
          <w:bCs/>
          <w:kern w:val="0"/>
          <w:szCs w:val="21"/>
          <w:lang w:eastAsia="zh-CN"/>
        </w:rPr>
        <w:t>）科技报告</w:t>
      </w:r>
    </w:p>
    <w:tbl>
      <w:tblPr>
        <w:tblStyle w:val="6"/>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中</w:t>
            </w:r>
          </w:p>
        </w:tc>
        <w:tc>
          <w:tcPr>
            <w:tcW w:w="7676" w:type="dxa"/>
            <w:noWrap w:val="0"/>
            <w:vAlign w:val="top"/>
          </w:tcPr>
          <w:p>
            <w:pPr>
              <w:keepNext w:val="0"/>
              <w:keepLines w:val="0"/>
              <w:pageBreakBefore w:val="0"/>
              <w:widowControl w:val="0"/>
              <w:numPr>
                <w:ilvl w:val="0"/>
                <w:numId w:val="4"/>
              </w:numPr>
              <w:kinsoku/>
              <w:wordWrap w:val="0"/>
              <w:overflowPunct/>
              <w:topLinePunct w:val="0"/>
              <w:autoSpaceDE/>
              <w:autoSpaceDN/>
              <w:bidi w:val="0"/>
              <w:adjustRightInd/>
              <w:snapToGrid/>
              <w:textAlignment w:val="auto"/>
              <w:rPr>
                <w:rFonts w:hint="default"/>
                <w:lang w:val="en-US" w:eastAsia="zh-CN"/>
              </w:rPr>
            </w:pPr>
            <w:r>
              <w:rPr>
                <w:rFonts w:hint="eastAsia"/>
                <w:lang w:eastAsia="zh-CN"/>
              </w:rPr>
              <w:t>中华人民共和国国务院新闻办公室</w:t>
            </w:r>
            <w:r>
              <w:rPr>
                <w:rFonts w:hint="eastAsia"/>
                <w:lang w:val="en-US" w:eastAsia="zh-CN"/>
              </w:rPr>
              <w:t>. 国防白皮书：中国武装力量的多样化运用</w:t>
            </w:r>
            <w:r>
              <w:rPr>
                <w:rFonts w:hint="eastAsia"/>
              </w:rPr>
              <w:t>[</w:t>
            </w:r>
            <w:r>
              <w:rPr>
                <w:rFonts w:hint="eastAsia"/>
                <w:lang w:val="en-US" w:eastAsia="zh-CN"/>
              </w:rPr>
              <w:t>R/OL</w:t>
            </w:r>
            <w:r>
              <w:rPr>
                <w:rFonts w:hint="eastAsia"/>
              </w:rPr>
              <w:t>]</w:t>
            </w:r>
            <w:r>
              <w:rPr>
                <w:rFonts w:hint="eastAsia"/>
                <w:lang w:val="en-US" w:eastAsia="zh-CN"/>
              </w:rPr>
              <w:t>. (2013-04-16)</w:t>
            </w:r>
            <w:r>
              <w:rPr>
                <w:rFonts w:hint="eastAsia"/>
              </w:rPr>
              <w:t>[</w:t>
            </w:r>
            <w:r>
              <w:rPr>
                <w:rFonts w:hint="eastAsia"/>
                <w:lang w:val="en-US" w:eastAsia="zh-CN"/>
              </w:rPr>
              <w:t>2014</w:t>
            </w:r>
            <w:r>
              <w:rPr>
                <w:rFonts w:hint="eastAsia"/>
              </w:rPr>
              <w:t>-0</w:t>
            </w:r>
            <w:r>
              <w:rPr>
                <w:rFonts w:hint="eastAsia"/>
                <w:lang w:val="en-US" w:eastAsia="zh-CN"/>
              </w:rPr>
              <w:t>6</w:t>
            </w:r>
            <w:r>
              <w:rPr>
                <w:rFonts w:hint="eastAsia"/>
              </w:rPr>
              <w:t>-</w:t>
            </w:r>
            <w:r>
              <w:rPr>
                <w:rFonts w:hint="eastAsia"/>
                <w:lang w:val="en-US" w:eastAsia="zh-CN"/>
              </w:rPr>
              <w:t>11</w:t>
            </w:r>
            <w:r>
              <w:rPr>
                <w:rFonts w:hint="eastAsia"/>
              </w:rPr>
              <w:t>]</w:t>
            </w:r>
            <w:r>
              <w:rPr>
                <w:rFonts w:hint="eastAsia"/>
                <w:lang w:val="en-US" w:eastAsia="zh-CN"/>
              </w:rPr>
              <w:t xml:space="preserve">. </w:t>
            </w:r>
            <w:r>
              <w:rPr>
                <w:rFonts w:hint="eastAsia"/>
                <w:color w:val="auto"/>
                <w:u w:val="none"/>
                <w:lang w:val="en-US" w:eastAsia="zh-CN"/>
              </w:rPr>
              <w:t>http://www.mod.gov.cn/affair/2013-04/16/content_4442839.htm.</w:t>
            </w:r>
          </w:p>
          <w:p>
            <w:pPr>
              <w:keepNext w:val="0"/>
              <w:keepLines w:val="0"/>
              <w:pageBreakBefore w:val="0"/>
              <w:widowControl w:val="0"/>
              <w:numPr>
                <w:ilvl w:val="0"/>
                <w:numId w:val="0"/>
              </w:numPr>
              <w:kinsoku/>
              <w:wordWrap w:val="0"/>
              <w:overflowPunct/>
              <w:topLinePunct w:val="0"/>
              <w:autoSpaceDE/>
              <w:autoSpaceDN/>
              <w:bidi w:val="0"/>
              <w:adjustRightInd/>
              <w:snapToGrid/>
              <w:textAlignment w:val="auto"/>
              <w:rPr>
                <w:rFonts w:hint="default"/>
                <w:lang w:val="en-US" w:eastAsia="zh-CN"/>
              </w:rPr>
            </w:pPr>
            <w:r>
              <w:rPr>
                <w:rFonts w:hint="eastAsia" w:ascii="Calibri" w:hAnsi="Calibri" w:eastAsia="宋体" w:cs="Times New Roman"/>
                <w:b w:val="0"/>
                <w:kern w:val="2"/>
                <w:sz w:val="21"/>
                <w:szCs w:val="24"/>
                <w:lang w:val="en-US" w:eastAsia="zh-CN" w:bidi="ar-SA"/>
              </w:rPr>
              <w:t>[1] The State Council Information Office of</w:t>
            </w:r>
            <w:r>
              <w:rPr>
                <w:rFonts w:hint="eastAsia" w:ascii="Calibri" w:hAnsi="Calibri" w:cs="Times New Roman"/>
                <w:b w:val="0"/>
                <w:kern w:val="2"/>
                <w:sz w:val="21"/>
                <w:szCs w:val="24"/>
                <w:lang w:val="en-US" w:eastAsia="zh-CN" w:bidi="ar-SA"/>
              </w:rPr>
              <w:t xml:space="preserve"> </w:t>
            </w:r>
            <w:r>
              <w:rPr>
                <w:rFonts w:hint="eastAsia" w:ascii="Calibri" w:hAnsi="Calibri" w:eastAsia="宋体" w:cs="Times New Roman"/>
                <w:b w:val="0"/>
                <w:kern w:val="2"/>
                <w:sz w:val="21"/>
                <w:szCs w:val="24"/>
                <w:lang w:val="en-US" w:eastAsia="zh-CN" w:bidi="ar-SA"/>
              </w:rPr>
              <w:t>the People</w:t>
            </w:r>
            <w:r>
              <w:rPr>
                <w:rFonts w:hint="default" w:cs="Times New Roman"/>
                <w:b w:val="0"/>
                <w:kern w:val="2"/>
                <w:sz w:val="21"/>
                <w:szCs w:val="24"/>
                <w:lang w:val="en-US" w:eastAsia="zh-CN" w:bidi="ar-SA"/>
              </w:rPr>
              <w:t>’</w:t>
            </w:r>
            <w:r>
              <w:rPr>
                <w:rFonts w:hint="eastAsia" w:ascii="Calibri" w:hAnsi="Calibri" w:eastAsia="宋体" w:cs="Times New Roman"/>
                <w:b w:val="0"/>
                <w:kern w:val="2"/>
                <w:sz w:val="21"/>
                <w:szCs w:val="24"/>
                <w:lang w:val="en-US" w:eastAsia="zh-CN" w:bidi="ar-SA"/>
              </w:rPr>
              <w:t>s Republic of China. China</w:t>
            </w:r>
            <w:r>
              <w:rPr>
                <w:rFonts w:hint="default" w:cs="Times New Roman"/>
                <w:b w:val="0"/>
                <w:kern w:val="2"/>
                <w:sz w:val="21"/>
                <w:szCs w:val="24"/>
                <w:lang w:val="en-US" w:eastAsia="zh-CN" w:bidi="ar-SA"/>
              </w:rPr>
              <w:t>’</w:t>
            </w:r>
            <w:r>
              <w:rPr>
                <w:rFonts w:hint="eastAsia" w:ascii="Calibri" w:hAnsi="Calibri" w:eastAsia="宋体" w:cs="Times New Roman"/>
                <w:b w:val="0"/>
                <w:kern w:val="2"/>
                <w:sz w:val="21"/>
                <w:szCs w:val="24"/>
                <w:lang w:val="en-US" w:eastAsia="zh-CN" w:bidi="ar-SA"/>
              </w:rPr>
              <w:t>s National Defense in the New Era</w:t>
            </w:r>
            <w:r>
              <w:rPr>
                <w:rFonts w:hint="eastAsia" w:ascii="Calibri" w:hAnsi="Calibri" w:cs="Times New Roman"/>
                <w:b w:val="0"/>
                <w:kern w:val="2"/>
                <w:sz w:val="21"/>
                <w:szCs w:val="24"/>
                <w:lang w:val="en-US" w:eastAsia="zh-CN" w:bidi="ar-SA"/>
              </w:rPr>
              <w:t xml:space="preserve">: </w:t>
            </w:r>
            <w:r>
              <w:rPr>
                <w:rFonts w:hint="default" w:ascii="Calibri" w:hAnsi="Calibri" w:eastAsia="宋体" w:cs="Times New Roman"/>
                <w:b w:val="0"/>
                <w:kern w:val="2"/>
                <w:sz w:val="21"/>
                <w:szCs w:val="24"/>
                <w:lang w:val="en-US" w:eastAsia="zh-CN" w:bidi="ar-SA"/>
              </w:rPr>
              <w:t>The diversified employment of China's armed forces</w:t>
            </w:r>
            <w:r>
              <w:rPr>
                <w:rFonts w:hint="eastAsia"/>
              </w:rPr>
              <w:t>[</w:t>
            </w:r>
            <w:r>
              <w:rPr>
                <w:rFonts w:hint="eastAsia"/>
                <w:lang w:val="en-US" w:eastAsia="zh-CN"/>
              </w:rPr>
              <w:t>R/OL</w:t>
            </w:r>
            <w:r>
              <w:rPr>
                <w:rFonts w:hint="eastAsia"/>
              </w:rPr>
              <w:t>]</w:t>
            </w:r>
            <w:r>
              <w:rPr>
                <w:rFonts w:hint="eastAsia"/>
                <w:lang w:val="en-US" w:eastAsia="zh-CN"/>
              </w:rPr>
              <w:t>. (2013-04-16)</w:t>
            </w:r>
            <w:r>
              <w:rPr>
                <w:rFonts w:hint="eastAsia"/>
              </w:rPr>
              <w:t>[</w:t>
            </w:r>
            <w:r>
              <w:rPr>
                <w:rFonts w:hint="eastAsia"/>
                <w:lang w:val="en-US" w:eastAsia="zh-CN"/>
              </w:rPr>
              <w:t>2014</w:t>
            </w:r>
            <w:r>
              <w:rPr>
                <w:rFonts w:hint="eastAsia"/>
              </w:rPr>
              <w:t>-0</w:t>
            </w:r>
            <w:r>
              <w:rPr>
                <w:rFonts w:hint="eastAsia"/>
                <w:lang w:val="en-US" w:eastAsia="zh-CN"/>
              </w:rPr>
              <w:t>6</w:t>
            </w:r>
            <w:r>
              <w:rPr>
                <w:rFonts w:hint="eastAsia"/>
              </w:rPr>
              <w:t>-</w:t>
            </w:r>
            <w:r>
              <w:rPr>
                <w:rFonts w:hint="eastAsia"/>
                <w:lang w:val="en-US" w:eastAsia="zh-CN"/>
              </w:rPr>
              <w:t>11</w:t>
            </w:r>
            <w:r>
              <w:rPr>
                <w:rFonts w:hint="eastAsia"/>
              </w:rPr>
              <w:t>]</w:t>
            </w:r>
            <w:r>
              <w:rPr>
                <w:rFonts w:hint="eastAsia"/>
                <w:lang w:val="en-US" w:eastAsia="zh-CN"/>
              </w:rPr>
              <w:t>. http://www.mod.gov.cn/affair/2013-04/16/content_4442839.htm.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英</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rPr>
            </w:pPr>
            <w:r>
              <w:rPr>
                <w:rFonts w:hint="eastAsia"/>
              </w:rPr>
              <w:t>[</w:t>
            </w:r>
            <w:r>
              <w:rPr>
                <w:rFonts w:hint="eastAsia"/>
                <w:lang w:val="en-US" w:eastAsia="zh-CN"/>
              </w:rPr>
              <w:t>2</w:t>
            </w:r>
            <w:r>
              <w:rPr>
                <w:rFonts w:hint="eastAsia"/>
              </w:rPr>
              <w:t>]</w:t>
            </w:r>
            <w:r>
              <w:rPr>
                <w:rFonts w:hint="eastAsia"/>
                <w:lang w:val="en-US" w:eastAsia="zh-CN"/>
              </w:rPr>
              <w:t xml:space="preserve"> </w:t>
            </w:r>
            <w:r>
              <w:rPr>
                <w:rFonts w:hint="eastAsia"/>
              </w:rPr>
              <w:t>U.S. Department of Transportation Federal　Highway Administration. Guidelines for handling excavated acid-producing materials</w:t>
            </w:r>
            <w:r>
              <w:rPr>
                <w:rFonts w:hint="eastAsia"/>
                <w:lang w:val="en-US" w:eastAsia="zh-CN"/>
              </w:rPr>
              <w:t xml:space="preserve">, </w:t>
            </w:r>
            <w:r>
              <w:rPr>
                <w:rFonts w:hint="eastAsia"/>
              </w:rPr>
              <w:t>PB 91-19400[R].</w:t>
            </w:r>
            <w:r>
              <w:rPr>
                <w:rFonts w:hint="eastAsia"/>
                <w:lang w:val="en-US" w:eastAsia="zh-CN"/>
              </w:rPr>
              <w:t xml:space="preserve"> </w:t>
            </w:r>
            <w:r>
              <w:rPr>
                <w:rFonts w:hint="eastAsia"/>
              </w:rPr>
              <w:t>Springfield</w:t>
            </w:r>
            <w:r>
              <w:rPr>
                <w:rFonts w:hint="eastAsia"/>
                <w:lang w:val="en-US" w:eastAsia="zh-CN"/>
              </w:rPr>
              <w:t xml:space="preserve">: </w:t>
            </w:r>
            <w:r>
              <w:rPr>
                <w:rFonts w:hint="eastAsia"/>
              </w:rPr>
              <w:t xml:space="preserve"> U.S.</w:t>
            </w:r>
            <w:r>
              <w:rPr>
                <w:rFonts w:hint="eastAsia"/>
                <w:lang w:val="en-US" w:eastAsia="zh-CN"/>
              </w:rPr>
              <w:t xml:space="preserve"> </w:t>
            </w:r>
            <w:r>
              <w:rPr>
                <w:rFonts w:hint="eastAsia"/>
              </w:rPr>
              <w:t>Department of Commerce National Information Service</w:t>
            </w:r>
            <w:r>
              <w:rPr>
                <w:rFonts w:hint="eastAsia"/>
                <w:lang w:val="en-US" w:eastAsia="zh-CN"/>
              </w:rPr>
              <w:t xml:space="preserve">, </w:t>
            </w:r>
            <w:r>
              <w:rPr>
                <w:rFonts w:hint="eastAsia"/>
              </w:rPr>
              <w:t>1990.</w:t>
            </w:r>
          </w:p>
        </w:tc>
      </w:tr>
    </w:tbl>
    <w:p>
      <w:pPr>
        <w:spacing w:line="360" w:lineRule="auto"/>
        <w:ind w:firstLine="316" w:firstLineChars="150"/>
        <w:rPr>
          <w:rFonts w:hint="eastAsia" w:cs="Times New Roman" w:asciiTheme="minorEastAsia" w:hAnsiTheme="minorEastAsia"/>
          <w:b/>
          <w:bCs/>
          <w:kern w:val="0"/>
          <w:szCs w:val="21"/>
          <w:lang w:eastAsia="zh-CN"/>
        </w:rPr>
      </w:pPr>
      <w:r>
        <w:rPr>
          <w:rFonts w:hint="eastAsia" w:cs="Times New Roman" w:asciiTheme="minorEastAsia" w:hAnsiTheme="minorEastAsia"/>
          <w:b/>
          <w:bCs/>
          <w:kern w:val="0"/>
          <w:szCs w:val="21"/>
          <w:lang w:eastAsia="zh-CN"/>
        </w:rPr>
        <w:t>（</w:t>
      </w:r>
      <w:r>
        <w:rPr>
          <w:rFonts w:hint="eastAsia" w:cs="Times New Roman" w:asciiTheme="minorEastAsia" w:hAnsiTheme="minorEastAsia"/>
          <w:b/>
          <w:bCs/>
          <w:kern w:val="0"/>
          <w:szCs w:val="21"/>
          <w:lang w:val="en-US" w:eastAsia="zh-CN"/>
        </w:rPr>
        <w:t>5）</w:t>
      </w:r>
      <w:r>
        <w:rPr>
          <w:rFonts w:hint="eastAsia" w:cs="Times New Roman" w:asciiTheme="minorEastAsia" w:hAnsiTheme="minorEastAsia"/>
          <w:b/>
          <w:bCs/>
          <w:kern w:val="0"/>
          <w:szCs w:val="21"/>
          <w:lang w:eastAsia="zh-CN"/>
        </w:rPr>
        <w:t>学位论文</w:t>
      </w:r>
    </w:p>
    <w:tbl>
      <w:tblPr>
        <w:tblStyle w:val="6"/>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中</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default" w:eastAsia="宋体"/>
                <w:lang w:val="en-US" w:eastAsia="zh-CN"/>
              </w:rPr>
            </w:pPr>
            <w:r>
              <w:rPr>
                <w:rFonts w:hint="eastAsia"/>
              </w:rPr>
              <w:t>[1]</w:t>
            </w:r>
            <w:r>
              <w:rPr>
                <w:rFonts w:hint="eastAsia"/>
                <w:lang w:val="en-US" w:eastAsia="zh-CN"/>
              </w:rPr>
              <w:t xml:space="preserve"> </w:t>
            </w:r>
            <w:r>
              <w:rPr>
                <w:rFonts w:hint="eastAsia"/>
              </w:rPr>
              <w:t>孙玉明</w:t>
            </w:r>
            <w:r>
              <w:rPr>
                <w:rFonts w:hint="eastAsia"/>
                <w:lang w:val="en-US" w:eastAsia="zh-CN"/>
              </w:rPr>
              <w:t>. 葡磷酰胺临床前药物代谢与动力学研究</w:t>
            </w:r>
            <w:r>
              <w:rPr>
                <w:rFonts w:hint="default"/>
                <w:lang w:val="en-US"/>
              </w:rPr>
              <w:t>[D].</w:t>
            </w:r>
            <w:r>
              <w:rPr>
                <w:rFonts w:hint="eastAsia"/>
                <w:lang w:val="en-US" w:eastAsia="zh-CN"/>
              </w:rPr>
              <w:t xml:space="preserve"> 沈阳：沈阳药科大学，2006.</w:t>
            </w:r>
          </w:p>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rPr>
            </w:pPr>
            <w:r>
              <w:rPr>
                <w:rFonts w:hint="eastAsia"/>
              </w:rPr>
              <w:t>[1]</w:t>
            </w:r>
            <w:r>
              <w:rPr>
                <w:rFonts w:hint="eastAsia"/>
                <w:lang w:val="en-US" w:eastAsia="zh-CN"/>
              </w:rPr>
              <w:t xml:space="preserve"> </w:t>
            </w:r>
            <w:r>
              <w:rPr>
                <w:rFonts w:hint="default"/>
                <w:lang w:val="en-US"/>
              </w:rPr>
              <w:t>SUN YM.</w:t>
            </w:r>
            <w:r>
              <w:rPr>
                <w:rFonts w:hint="eastAsia"/>
                <w:lang w:val="en-US" w:eastAsia="zh-CN"/>
              </w:rPr>
              <w:t xml:space="preserve"> </w:t>
            </w:r>
            <w:r>
              <w:rPr>
                <w:rFonts w:hint="default"/>
                <w:lang w:val="en-US"/>
              </w:rPr>
              <w:t>Preclinical Pharmacokinetic Study of Glufosfamide[D]. Shenyang: Shenyang Pharmaceutical University, 2006.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英</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rPr>
            </w:pPr>
            <w:r>
              <w:rPr>
                <w:rFonts w:hint="eastAsia"/>
              </w:rPr>
              <w:t>[</w:t>
            </w:r>
            <w:r>
              <w:rPr>
                <w:rFonts w:hint="eastAsia"/>
                <w:lang w:val="en-US" w:eastAsia="zh-CN"/>
              </w:rPr>
              <w:t>2</w:t>
            </w:r>
            <w:r>
              <w:rPr>
                <w:rFonts w:hint="eastAsia"/>
              </w:rPr>
              <w:t>]</w:t>
            </w:r>
            <w:r>
              <w:rPr>
                <w:rFonts w:hint="eastAsia"/>
                <w:lang w:val="en-US" w:eastAsia="zh-CN"/>
              </w:rPr>
              <w:t xml:space="preserve"> </w:t>
            </w:r>
            <w:r>
              <w:rPr>
                <w:rFonts w:hint="eastAsia"/>
              </w:rPr>
              <w:t>CALMS RB.</w:t>
            </w:r>
            <w:r>
              <w:rPr>
                <w:rFonts w:hint="eastAsia"/>
                <w:lang w:val="en-US" w:eastAsia="zh-CN"/>
              </w:rPr>
              <w:t xml:space="preserve"> </w:t>
            </w:r>
            <w:r>
              <w:rPr>
                <w:rFonts w:hint="eastAsia"/>
              </w:rPr>
              <w:t>Infrared spectroscopic studies on solid oxygen[D]. Berkeley</w:t>
            </w:r>
            <w:r>
              <w:rPr>
                <w:rFonts w:hint="eastAsia"/>
                <w:lang w:val="en-US" w:eastAsia="zh-CN"/>
              </w:rPr>
              <w:t xml:space="preserve">: </w:t>
            </w:r>
            <w:r>
              <w:rPr>
                <w:rFonts w:hint="eastAsia"/>
              </w:rPr>
              <w:t>Univ. of California</w:t>
            </w:r>
            <w:r>
              <w:rPr>
                <w:rFonts w:hint="eastAsia"/>
                <w:lang w:val="en-US" w:eastAsia="zh-CN"/>
              </w:rPr>
              <w:t xml:space="preserve">, </w:t>
            </w:r>
            <w:r>
              <w:rPr>
                <w:rFonts w:hint="eastAsia"/>
              </w:rPr>
              <w:t>1965.</w:t>
            </w:r>
          </w:p>
        </w:tc>
      </w:tr>
    </w:tbl>
    <w:p>
      <w:pPr>
        <w:spacing w:line="360" w:lineRule="auto"/>
        <w:ind w:firstLine="316" w:firstLineChars="150"/>
        <w:rPr>
          <w:rFonts w:hint="eastAsia" w:cs="Times New Roman" w:asciiTheme="minorEastAsia" w:hAnsiTheme="minorEastAsia"/>
          <w:b/>
          <w:bCs/>
          <w:kern w:val="0"/>
          <w:szCs w:val="21"/>
          <w:lang w:eastAsia="zh-CN"/>
        </w:rPr>
      </w:pPr>
      <w:r>
        <w:rPr>
          <w:rFonts w:hint="eastAsia" w:cs="Times New Roman" w:asciiTheme="minorEastAsia" w:hAnsiTheme="minorEastAsia"/>
          <w:b/>
          <w:bCs/>
          <w:kern w:val="0"/>
          <w:szCs w:val="21"/>
          <w:lang w:eastAsia="zh-CN"/>
        </w:rPr>
        <w:t>（</w:t>
      </w:r>
      <w:r>
        <w:rPr>
          <w:rFonts w:hint="eastAsia" w:cs="Times New Roman" w:asciiTheme="minorEastAsia" w:hAnsiTheme="minorEastAsia"/>
          <w:b/>
          <w:bCs/>
          <w:kern w:val="0"/>
          <w:szCs w:val="21"/>
          <w:lang w:val="en-US" w:eastAsia="zh-CN"/>
        </w:rPr>
        <w:t>6</w:t>
      </w:r>
      <w:r>
        <w:rPr>
          <w:rFonts w:hint="eastAsia" w:cs="Times New Roman" w:asciiTheme="minorEastAsia" w:hAnsiTheme="minorEastAsia"/>
          <w:b/>
          <w:bCs/>
          <w:kern w:val="0"/>
          <w:szCs w:val="21"/>
          <w:lang w:eastAsia="zh-CN"/>
        </w:rPr>
        <w:t>）专利文献</w:t>
      </w:r>
    </w:p>
    <w:tbl>
      <w:tblPr>
        <w:tblStyle w:val="6"/>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中</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rPr>
            </w:pPr>
            <w:r>
              <w:rPr>
                <w:rFonts w:hint="eastAsia"/>
              </w:rPr>
              <w:t>[1]</w:t>
            </w:r>
            <w:r>
              <w:rPr>
                <w:rFonts w:hint="eastAsia"/>
                <w:lang w:val="en-US" w:eastAsia="zh-CN"/>
              </w:rPr>
              <w:t xml:space="preserve"> </w:t>
            </w:r>
            <w:r>
              <w:rPr>
                <w:rFonts w:hint="eastAsia"/>
              </w:rPr>
              <w:t>刘加林.</w:t>
            </w:r>
            <w:r>
              <w:rPr>
                <w:rFonts w:hint="eastAsia"/>
                <w:lang w:val="en-US" w:eastAsia="zh-CN"/>
              </w:rPr>
              <w:t xml:space="preserve"> </w:t>
            </w:r>
            <w:r>
              <w:rPr>
                <w:rFonts w:hint="eastAsia"/>
              </w:rPr>
              <w:t>多功能一次性压舌板：中国，92214985.2[P].</w:t>
            </w:r>
            <w:r>
              <w:rPr>
                <w:rFonts w:hint="eastAsia"/>
                <w:lang w:val="en-US" w:eastAsia="zh-CN"/>
              </w:rPr>
              <w:t xml:space="preserve"> </w:t>
            </w:r>
            <w:r>
              <w:rPr>
                <w:rFonts w:hint="eastAsia"/>
              </w:rPr>
              <w:t>1993-04-14.</w:t>
            </w:r>
          </w:p>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rPr>
            </w:pPr>
            <w:r>
              <w:rPr>
                <w:rFonts w:hint="eastAsia"/>
              </w:rPr>
              <w:t>[</w:t>
            </w:r>
            <w:r>
              <w:rPr>
                <w:rFonts w:hint="eastAsia"/>
                <w:lang w:val="en-US" w:eastAsia="zh-CN"/>
              </w:rPr>
              <w:t>1</w:t>
            </w:r>
            <w:r>
              <w:rPr>
                <w:rFonts w:hint="eastAsia"/>
              </w:rPr>
              <w:t>]</w:t>
            </w:r>
            <w:r>
              <w:rPr>
                <w:rFonts w:hint="eastAsia"/>
                <w:lang w:val="en-US" w:eastAsia="zh-CN"/>
              </w:rPr>
              <w:t xml:space="preserve"> LIU JL. Multifunctional disposable tongue depressor（</w:t>
            </w:r>
            <w:r>
              <w:rPr>
                <w:rFonts w:hint="eastAsia"/>
              </w:rPr>
              <w:t>多功能一次性压舌板</w:t>
            </w:r>
            <w:r>
              <w:rPr>
                <w:rFonts w:hint="eastAsia"/>
                <w:lang w:val="en-US" w:eastAsia="zh-CN"/>
              </w:rPr>
              <w:t xml:space="preserve">）: China, </w:t>
            </w:r>
            <w:r>
              <w:rPr>
                <w:rFonts w:hint="eastAsia"/>
              </w:rPr>
              <w:t>92214985.2[P].</w:t>
            </w:r>
            <w:r>
              <w:rPr>
                <w:rFonts w:hint="eastAsia"/>
                <w:lang w:val="en-US" w:eastAsia="zh-CN"/>
              </w:rPr>
              <w:t xml:space="preserve"> </w:t>
            </w:r>
            <w:r>
              <w:rPr>
                <w:rFonts w:hint="eastAsia"/>
              </w:rPr>
              <w:t>1993-04-14.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英</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rPr>
            </w:pPr>
            <w:r>
              <w:rPr>
                <w:rFonts w:hint="eastAsia"/>
              </w:rPr>
              <w:t>[</w:t>
            </w:r>
            <w:r>
              <w:rPr>
                <w:rFonts w:hint="eastAsia"/>
                <w:lang w:val="en-US" w:eastAsia="zh-CN"/>
              </w:rPr>
              <w:t>2</w:t>
            </w:r>
            <w:r>
              <w:rPr>
                <w:rFonts w:hint="eastAsia"/>
              </w:rPr>
              <w:t>]</w:t>
            </w:r>
            <w:r>
              <w:rPr>
                <w:rFonts w:hint="eastAsia"/>
                <w:lang w:val="en-US" w:eastAsia="zh-CN"/>
              </w:rPr>
              <w:t xml:space="preserve"> </w:t>
            </w:r>
            <w:r>
              <w:rPr>
                <w:rFonts w:hint="eastAsia"/>
              </w:rPr>
              <w:t>WASICAK JT, GARVEY D, HOLLADAY MW, et al. 7A-Heterocycle substituted hexahydro-1H-pyrrolizine compounds useful in controlling chemical synaptic transmission: US, 5733912 [P]. 1998-03-31.</w:t>
            </w:r>
          </w:p>
        </w:tc>
      </w:tr>
    </w:tbl>
    <w:p>
      <w:pPr>
        <w:spacing w:line="360" w:lineRule="auto"/>
        <w:ind w:firstLine="316" w:firstLineChars="150"/>
        <w:rPr>
          <w:rFonts w:hint="eastAsia" w:cs="Times New Roman" w:asciiTheme="minorEastAsia" w:hAnsiTheme="minorEastAsia"/>
          <w:b/>
          <w:bCs/>
          <w:kern w:val="0"/>
          <w:szCs w:val="21"/>
          <w:lang w:eastAsia="zh-CN"/>
        </w:rPr>
      </w:pPr>
      <w:r>
        <w:rPr>
          <w:rFonts w:hint="eastAsia" w:cs="Times New Roman" w:asciiTheme="minorEastAsia" w:hAnsiTheme="minorEastAsia"/>
          <w:b/>
          <w:bCs/>
          <w:kern w:val="0"/>
          <w:szCs w:val="21"/>
          <w:lang w:eastAsia="zh-CN"/>
        </w:rPr>
        <w:t>（</w:t>
      </w:r>
      <w:r>
        <w:rPr>
          <w:rFonts w:hint="eastAsia" w:cs="Times New Roman" w:asciiTheme="minorEastAsia" w:hAnsiTheme="minorEastAsia"/>
          <w:b/>
          <w:bCs/>
          <w:kern w:val="0"/>
          <w:szCs w:val="21"/>
          <w:lang w:val="en-US" w:eastAsia="zh-CN"/>
        </w:rPr>
        <w:t>7</w:t>
      </w:r>
      <w:r>
        <w:rPr>
          <w:rFonts w:hint="eastAsia" w:cs="Times New Roman" w:asciiTheme="minorEastAsia" w:hAnsiTheme="minorEastAsia"/>
          <w:b/>
          <w:bCs/>
          <w:kern w:val="0"/>
          <w:szCs w:val="21"/>
          <w:lang w:eastAsia="zh-CN"/>
        </w:rPr>
        <w:t>）专著中析出的文献</w:t>
      </w:r>
    </w:p>
    <w:tbl>
      <w:tblPr>
        <w:tblStyle w:val="6"/>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中</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default" w:eastAsia="宋体"/>
                <w:lang w:val="en-US" w:eastAsia="zh-CN"/>
              </w:rPr>
            </w:pPr>
            <w:r>
              <w:rPr>
                <w:rFonts w:hint="eastAsia"/>
              </w:rPr>
              <w:t>[1]</w:t>
            </w:r>
            <w:r>
              <w:rPr>
                <w:rFonts w:hint="eastAsia"/>
                <w:lang w:val="en-US" w:eastAsia="zh-CN"/>
              </w:rPr>
              <w:t xml:space="preserve"> </w:t>
            </w:r>
            <w:r>
              <w:rPr>
                <w:rFonts w:hint="eastAsia"/>
              </w:rPr>
              <w:t>于德泉</w:t>
            </w:r>
            <w:r>
              <w:rPr>
                <w:rFonts w:hint="eastAsia"/>
                <w:lang w:eastAsia="zh-CN"/>
              </w:rPr>
              <w:t>，</w:t>
            </w:r>
            <w:r>
              <w:rPr>
                <w:rFonts w:hint="eastAsia"/>
              </w:rPr>
              <w:t>杨峻山</w:t>
            </w:r>
            <w:r>
              <w:rPr>
                <w:rFonts w:hint="eastAsia"/>
                <w:lang w:val="en-US" w:eastAsia="zh-CN"/>
              </w:rPr>
              <w:t xml:space="preserve">. </w:t>
            </w:r>
            <w:r>
              <w:rPr>
                <w:rFonts w:hint="eastAsia" w:ascii="Times New Roman" w:hAnsi="Times New Roman"/>
                <w:color w:val="000000"/>
                <w:szCs w:val="21"/>
                <w:shd w:val="clear" w:color="auto" w:fill="FFFFFF"/>
              </w:rPr>
              <w:t>分析化学手册</w:t>
            </w:r>
            <w:r>
              <w:rPr>
                <w:rFonts w:hint="eastAsia" w:ascii="Times New Roman" w:hAnsi="Times New Roman"/>
                <w:color w:val="000000"/>
                <w:szCs w:val="21"/>
                <w:shd w:val="clear" w:color="auto" w:fill="FFFFFF"/>
                <w:lang w:val="en-US" w:eastAsia="zh-CN"/>
              </w:rPr>
              <w:t>[</w:t>
            </w:r>
            <w:r>
              <w:rPr>
                <w:rFonts w:hint="eastAsia" w:ascii="Times New Roman" w:hAnsi="Times New Roman"/>
                <w:color w:val="000000"/>
                <w:szCs w:val="21"/>
                <w:shd w:val="clear" w:color="auto" w:fill="FFFFFF"/>
              </w:rPr>
              <w:t>M</w:t>
            </w:r>
            <w:r>
              <w:rPr>
                <w:rFonts w:hint="eastAsia" w:ascii="Times New Roman" w:hAnsi="Times New Roman"/>
                <w:color w:val="000000"/>
                <w:szCs w:val="21"/>
                <w:shd w:val="clear" w:color="auto" w:fill="FFFFFF"/>
                <w:lang w:val="en-US" w:eastAsia="zh-CN"/>
              </w:rPr>
              <w:t>]</w:t>
            </w:r>
            <w:r>
              <w:rPr>
                <w:rFonts w:hint="eastAsia" w:ascii="Times New Roman" w:hAnsi="Times New Roman"/>
                <w:color w:val="000000"/>
                <w:szCs w:val="21"/>
                <w:shd w:val="clear" w:color="auto" w:fill="FFFFFF"/>
              </w:rPr>
              <w:t>.</w:t>
            </w:r>
            <w:r>
              <w:rPr>
                <w:rFonts w:hint="eastAsia" w:ascii="Times New Roman" w:hAnsi="Times New Roman"/>
                <w:color w:val="000000"/>
                <w:szCs w:val="21"/>
                <w:shd w:val="clear" w:color="auto" w:fill="FFFFFF"/>
                <w:lang w:val="en-US" w:eastAsia="zh-CN"/>
              </w:rPr>
              <w:t xml:space="preserve"> </w:t>
            </w:r>
            <w:r>
              <w:rPr>
                <w:rFonts w:hint="eastAsia" w:ascii="Times New Roman" w:hAnsi="Times New Roman"/>
                <w:color w:val="000000"/>
                <w:szCs w:val="21"/>
                <w:shd w:val="clear" w:color="auto" w:fill="FFFFFF"/>
              </w:rPr>
              <w:t>第七分册</w:t>
            </w:r>
            <w:r>
              <w:rPr>
                <w:rFonts w:hint="eastAsia" w:ascii="Times New Roman" w:hAnsi="Times New Roman"/>
                <w:color w:val="000000"/>
                <w:szCs w:val="21"/>
                <w:shd w:val="clear" w:color="auto" w:fill="FFFFFF"/>
                <w:lang w:val="en-US" w:eastAsia="zh-CN"/>
              </w:rPr>
              <w:t>. 北京：化学工业出版社，1999:492.</w:t>
            </w:r>
          </w:p>
          <w:p>
            <w:pPr>
              <w:keepNext w:val="0"/>
              <w:keepLines w:val="0"/>
              <w:pageBreakBefore w:val="0"/>
              <w:widowControl w:val="0"/>
              <w:numPr>
                <w:ilvl w:val="0"/>
                <w:numId w:val="0"/>
              </w:numPr>
              <w:kinsoku/>
              <w:wordWrap w:val="0"/>
              <w:overflowPunct/>
              <w:topLinePunct w:val="0"/>
              <w:autoSpaceDE/>
              <w:autoSpaceDN/>
              <w:bidi w:val="0"/>
              <w:adjustRightInd/>
              <w:snapToGrid/>
              <w:textAlignment w:val="auto"/>
              <w:rPr>
                <w:rFonts w:hint="eastAsia"/>
                <w:vertAlign w:val="baseline"/>
              </w:rPr>
            </w:pPr>
            <w:r>
              <w:rPr>
                <w:rFonts w:hint="eastAsia"/>
              </w:rPr>
              <w:t>[1]</w:t>
            </w:r>
            <w:r>
              <w:rPr>
                <w:rFonts w:hint="eastAsia"/>
                <w:lang w:val="en-US" w:eastAsia="zh-CN"/>
              </w:rPr>
              <w:t xml:space="preserve"> </w:t>
            </w:r>
            <w:r>
              <w:rPr>
                <w:rFonts w:hint="eastAsia"/>
              </w:rPr>
              <w:t>Y</w:t>
            </w:r>
            <w:r>
              <w:rPr>
                <w:rFonts w:hint="eastAsia"/>
                <w:lang w:val="en-US" w:eastAsia="zh-CN"/>
              </w:rPr>
              <w:t>U</w:t>
            </w:r>
            <w:r>
              <w:rPr>
                <w:rFonts w:hint="eastAsia"/>
              </w:rPr>
              <w:t xml:space="preserve"> DQ</w:t>
            </w:r>
            <w:r>
              <w:rPr>
                <w:rFonts w:hint="eastAsia"/>
                <w:lang w:val="en-US" w:eastAsia="zh-CN"/>
              </w:rPr>
              <w:t>, YANG</w:t>
            </w:r>
            <w:r>
              <w:rPr>
                <w:rFonts w:hint="eastAsia"/>
              </w:rPr>
              <w:t xml:space="preserve"> JS. Handbook of Analytical Chemistry</w:t>
            </w:r>
            <w:r>
              <w:rPr>
                <w:rFonts w:hint="eastAsia" w:ascii="Times New Roman" w:hAnsi="Times New Roman"/>
                <w:color w:val="000000"/>
                <w:szCs w:val="21"/>
                <w:shd w:val="clear" w:color="auto" w:fill="FFFFFF"/>
              </w:rPr>
              <w:t xml:space="preserve"> (分析化学手册)</w:t>
            </w:r>
            <w:r>
              <w:rPr>
                <w:rFonts w:hint="eastAsia" w:ascii="Times New Roman" w:hAnsi="Times New Roman"/>
                <w:color w:val="000000"/>
                <w:szCs w:val="21"/>
                <w:shd w:val="clear" w:color="auto" w:fill="FFFFFF"/>
                <w:lang w:val="en-US" w:eastAsia="zh-CN"/>
              </w:rPr>
              <w:t>[</w:t>
            </w:r>
            <w:r>
              <w:rPr>
                <w:rFonts w:hint="eastAsia" w:ascii="Times New Roman" w:hAnsi="Times New Roman"/>
                <w:color w:val="000000"/>
                <w:szCs w:val="21"/>
                <w:shd w:val="clear" w:color="auto" w:fill="FFFFFF"/>
              </w:rPr>
              <w:t>M</w:t>
            </w:r>
            <w:r>
              <w:rPr>
                <w:rFonts w:hint="eastAsia"/>
                <w:lang w:val="en-US" w:eastAsia="zh-CN"/>
              </w:rPr>
              <w:t>]</w:t>
            </w:r>
            <w:r>
              <w:rPr>
                <w:rFonts w:hint="eastAsia"/>
              </w:rPr>
              <w:t>. Vol 7. Beijing</w:t>
            </w:r>
            <w:r>
              <w:rPr>
                <w:rFonts w:hint="eastAsia"/>
                <w:lang w:val="en-US" w:eastAsia="zh-CN"/>
              </w:rPr>
              <w:t xml:space="preserve">: </w:t>
            </w:r>
            <w:r>
              <w:rPr>
                <w:rFonts w:hint="eastAsia"/>
              </w:rPr>
              <w:t>Chemical Industry Press</w:t>
            </w:r>
            <w:r>
              <w:rPr>
                <w:rFonts w:hint="eastAsia"/>
                <w:lang w:val="en-US" w:eastAsia="zh-CN"/>
              </w:rPr>
              <w:t xml:space="preserve">, </w:t>
            </w:r>
            <w:r>
              <w:rPr>
                <w:rFonts w:hint="eastAsia"/>
              </w:rPr>
              <w:t>1999</w:t>
            </w:r>
            <w:r>
              <w:rPr>
                <w:rFonts w:hint="eastAsia"/>
                <w:lang w:val="en-US" w:eastAsia="zh-CN"/>
              </w:rPr>
              <w:t xml:space="preserve">: </w:t>
            </w:r>
            <w:r>
              <w:rPr>
                <w:rFonts w:hint="eastAsia"/>
              </w:rPr>
              <w:t>492.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英</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rPr>
            </w:pPr>
            <w:r>
              <w:rPr>
                <w:rFonts w:hint="eastAsia"/>
              </w:rPr>
              <w:t>[</w:t>
            </w:r>
            <w:r>
              <w:rPr>
                <w:rFonts w:hint="eastAsia"/>
                <w:lang w:val="en-US" w:eastAsia="zh-CN"/>
              </w:rPr>
              <w:t>2</w:t>
            </w:r>
            <w:r>
              <w:rPr>
                <w:rFonts w:hint="eastAsia"/>
              </w:rPr>
              <w:t>]</w:t>
            </w:r>
            <w:r>
              <w:rPr>
                <w:rFonts w:hint="eastAsia"/>
                <w:lang w:val="en-US" w:eastAsia="zh-CN"/>
              </w:rPr>
              <w:t xml:space="preserve"> </w:t>
            </w:r>
            <w:r>
              <w:rPr>
                <w:rFonts w:hint="eastAsia"/>
              </w:rPr>
              <w:t>BUSECK PR</w:t>
            </w:r>
            <w:r>
              <w:rPr>
                <w:rFonts w:hint="eastAsia"/>
                <w:lang w:val="en-US" w:eastAsia="zh-CN"/>
              </w:rPr>
              <w:t xml:space="preserve">, </w:t>
            </w:r>
            <w:r>
              <w:rPr>
                <w:rFonts w:hint="eastAsia"/>
              </w:rPr>
              <w:t>NORD GL</w:t>
            </w:r>
            <w:r>
              <w:rPr>
                <w:rFonts w:hint="eastAsia"/>
                <w:lang w:val="en-US" w:eastAsia="zh-CN"/>
              </w:rPr>
              <w:t xml:space="preserve">, </w:t>
            </w:r>
            <w:r>
              <w:rPr>
                <w:rFonts w:hint="eastAsia"/>
              </w:rPr>
              <w:t>JR</w:t>
            </w:r>
            <w:r>
              <w:rPr>
                <w:rFonts w:hint="eastAsia"/>
                <w:lang w:val="en-US" w:eastAsia="zh-CN"/>
              </w:rPr>
              <w:t>,</w:t>
            </w:r>
            <w:r>
              <w:rPr>
                <w:rFonts w:hint="eastAsia"/>
              </w:rPr>
              <w:t xml:space="preserve"> VEBLEN DR. Subsolidus phenomena in pyroxenes[M]// Pyroxense.</w:t>
            </w:r>
            <w:r>
              <w:rPr>
                <w:rFonts w:hint="eastAsia"/>
                <w:lang w:val="en-US" w:eastAsia="zh-CN"/>
              </w:rPr>
              <w:t xml:space="preserve"> </w:t>
            </w:r>
            <w:r>
              <w:rPr>
                <w:rFonts w:hint="eastAsia"/>
              </w:rPr>
              <w:t>Washington</w:t>
            </w:r>
            <w:r>
              <w:rPr>
                <w:rFonts w:hint="eastAsia"/>
                <w:lang w:val="en-US" w:eastAsia="zh-CN"/>
              </w:rPr>
              <w:t xml:space="preserve">, </w:t>
            </w:r>
            <w:r>
              <w:rPr>
                <w:rFonts w:hint="eastAsia"/>
              </w:rPr>
              <w:t>D.C.</w:t>
            </w:r>
            <w:r>
              <w:rPr>
                <w:rFonts w:hint="eastAsia"/>
                <w:lang w:val="en-US" w:eastAsia="zh-CN"/>
              </w:rPr>
              <w:t xml:space="preserve">: </w:t>
            </w:r>
            <w:r>
              <w:rPr>
                <w:rFonts w:hint="eastAsia"/>
              </w:rPr>
              <w:t>Mineralogical Society of America,</w:t>
            </w:r>
            <w:r>
              <w:rPr>
                <w:rFonts w:hint="eastAsia"/>
                <w:lang w:val="en-US" w:eastAsia="zh-CN"/>
              </w:rPr>
              <w:t xml:space="preserve"> </w:t>
            </w:r>
            <w:r>
              <w:rPr>
                <w:rFonts w:hint="eastAsia"/>
              </w:rPr>
              <w:t>c1980</w:t>
            </w:r>
            <w:r>
              <w:rPr>
                <w:rFonts w:hint="eastAsia"/>
                <w:lang w:val="en-US" w:eastAsia="zh-CN"/>
              </w:rPr>
              <w:t xml:space="preserve">: </w:t>
            </w:r>
            <w:r>
              <w:rPr>
                <w:rFonts w:hint="eastAsia"/>
              </w:rPr>
              <w:t>117-211.</w:t>
            </w:r>
          </w:p>
        </w:tc>
      </w:tr>
    </w:tbl>
    <w:p>
      <w:pPr>
        <w:spacing w:line="360" w:lineRule="auto"/>
        <w:ind w:firstLine="316" w:firstLineChars="150"/>
        <w:rPr>
          <w:rFonts w:hint="eastAsia" w:cs="Times New Roman" w:asciiTheme="minorEastAsia" w:hAnsiTheme="minorEastAsia"/>
          <w:b/>
          <w:bCs/>
          <w:kern w:val="0"/>
          <w:szCs w:val="21"/>
          <w:lang w:eastAsia="zh-CN"/>
        </w:rPr>
      </w:pPr>
      <w:r>
        <w:rPr>
          <w:rFonts w:hint="eastAsia" w:cs="Times New Roman" w:asciiTheme="minorEastAsia" w:hAnsiTheme="minorEastAsia"/>
          <w:b/>
          <w:bCs/>
          <w:kern w:val="0"/>
          <w:szCs w:val="21"/>
          <w:lang w:eastAsia="zh-CN"/>
        </w:rPr>
        <w:t>（8）报纸中析出的文献</w:t>
      </w:r>
    </w:p>
    <w:tbl>
      <w:tblPr>
        <w:tblStyle w:val="6"/>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中</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rPr>
            </w:pPr>
            <w:r>
              <w:rPr>
                <w:rFonts w:hint="eastAsia"/>
              </w:rPr>
              <w:t>[1]</w:t>
            </w:r>
            <w:r>
              <w:rPr>
                <w:rFonts w:hint="eastAsia"/>
                <w:lang w:val="en-US" w:eastAsia="zh-CN"/>
              </w:rPr>
              <w:t xml:space="preserve"> </w:t>
            </w:r>
            <w:r>
              <w:rPr>
                <w:rFonts w:hint="eastAsia"/>
              </w:rPr>
              <w:t>丁文祥.</w:t>
            </w:r>
            <w:r>
              <w:rPr>
                <w:rFonts w:hint="eastAsia"/>
                <w:lang w:val="en-US" w:eastAsia="zh-CN"/>
              </w:rPr>
              <w:t xml:space="preserve"> </w:t>
            </w:r>
            <w:r>
              <w:rPr>
                <w:rFonts w:hint="eastAsia"/>
              </w:rPr>
              <w:t>数字革命与竞争国际化[N].</w:t>
            </w:r>
            <w:r>
              <w:rPr>
                <w:rFonts w:hint="eastAsia"/>
                <w:lang w:val="en-US" w:eastAsia="zh-CN"/>
              </w:rPr>
              <w:t xml:space="preserve"> </w:t>
            </w:r>
            <w:r>
              <w:rPr>
                <w:rFonts w:hint="eastAsia"/>
              </w:rPr>
              <w:t>中国青年报，2000-11-20(15).</w:t>
            </w:r>
          </w:p>
          <w:p>
            <w:pPr>
              <w:keepNext w:val="0"/>
              <w:keepLines w:val="0"/>
              <w:pageBreakBefore w:val="0"/>
              <w:widowControl w:val="0"/>
              <w:kinsoku/>
              <w:wordWrap w:val="0"/>
              <w:overflowPunct/>
              <w:topLinePunct w:val="0"/>
              <w:autoSpaceDE/>
              <w:autoSpaceDN/>
              <w:bidi w:val="0"/>
              <w:adjustRightInd/>
              <w:snapToGrid/>
              <w:textAlignment w:val="auto"/>
              <w:rPr>
                <w:rFonts w:hint="eastAsia" w:eastAsia="宋体"/>
                <w:vertAlign w:val="baseline"/>
                <w:lang w:val="en-US" w:eastAsia="zh-CN"/>
              </w:rPr>
            </w:pPr>
            <w:r>
              <w:rPr>
                <w:rFonts w:hint="eastAsia"/>
              </w:rPr>
              <w:t>[1]</w:t>
            </w:r>
            <w:r>
              <w:rPr>
                <w:rFonts w:hint="eastAsia"/>
                <w:lang w:val="en-US" w:eastAsia="zh-CN"/>
              </w:rPr>
              <w:t xml:space="preserve"> DING WX. The digital revolution and international competition</w:t>
            </w:r>
            <w:r>
              <w:rPr>
                <w:rFonts w:hint="eastAsia"/>
              </w:rPr>
              <w:t>[N]</w:t>
            </w:r>
            <w:r>
              <w:rPr>
                <w:rFonts w:hint="eastAsia"/>
                <w:lang w:val="en-US" w:eastAsia="zh-CN"/>
              </w:rPr>
              <w:t>. China youth Daily（</w:t>
            </w:r>
            <w:r>
              <w:rPr>
                <w:rFonts w:hint="eastAsia"/>
              </w:rPr>
              <w:t>中国青年报</w:t>
            </w:r>
            <w:r>
              <w:rPr>
                <w:rFonts w:hint="eastAsia"/>
                <w:lang w:val="en-US" w:eastAsia="zh-CN"/>
              </w:rPr>
              <w:t xml:space="preserve">）, </w:t>
            </w:r>
            <w:r>
              <w:rPr>
                <w:rFonts w:hint="eastAsia"/>
              </w:rPr>
              <w:t>2000-11-20(15).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英</w:t>
            </w:r>
          </w:p>
        </w:tc>
        <w:tc>
          <w:tcPr>
            <w:tcW w:w="7676" w:type="dxa"/>
            <w:noWrap w:val="0"/>
            <w:vAlign w:val="top"/>
          </w:tcPr>
          <w:p>
            <w:pPr>
              <w:keepNext w:val="0"/>
              <w:keepLines w:val="0"/>
              <w:pageBreakBefore w:val="0"/>
              <w:widowControl w:val="0"/>
              <w:numPr>
                <w:ilvl w:val="0"/>
                <w:numId w:val="0"/>
              </w:numPr>
              <w:kinsoku/>
              <w:wordWrap w:val="0"/>
              <w:overflowPunct/>
              <w:topLinePunct w:val="0"/>
              <w:autoSpaceDE/>
              <w:autoSpaceDN/>
              <w:bidi w:val="0"/>
              <w:adjustRightInd/>
              <w:snapToGrid/>
              <w:spacing w:line="240" w:lineRule="auto"/>
              <w:jc w:val="both"/>
              <w:textAlignment w:val="auto"/>
              <w:rPr>
                <w:rFonts w:hint="default"/>
                <w:vertAlign w:val="baseline"/>
                <w:lang w:val="en-US"/>
              </w:rPr>
            </w:pPr>
            <w:r>
              <w:rPr>
                <w:rFonts w:hint="eastAsia"/>
                <w:lang w:val="en-US" w:eastAsia="zh-CN"/>
              </w:rPr>
              <w:t>[2]Yu Z. Treatment for human infection developed[N]. China Daily，2005-12-27.</w:t>
            </w:r>
          </w:p>
        </w:tc>
      </w:tr>
    </w:tbl>
    <w:p>
      <w:pPr>
        <w:spacing w:line="360" w:lineRule="auto"/>
        <w:ind w:firstLine="316" w:firstLineChars="150"/>
        <w:rPr>
          <w:rFonts w:hint="eastAsia" w:cs="Times New Roman" w:asciiTheme="minorEastAsia" w:hAnsiTheme="minorEastAsia"/>
          <w:b/>
          <w:bCs/>
          <w:kern w:val="0"/>
          <w:szCs w:val="21"/>
          <w:lang w:eastAsia="zh-CN"/>
        </w:rPr>
      </w:pPr>
      <w:r>
        <w:rPr>
          <w:rFonts w:hint="eastAsia" w:cs="Times New Roman" w:asciiTheme="minorEastAsia" w:hAnsiTheme="minorEastAsia"/>
          <w:b/>
          <w:bCs/>
          <w:kern w:val="0"/>
          <w:szCs w:val="21"/>
          <w:lang w:eastAsia="zh-CN"/>
        </w:rPr>
        <w:t>（9）电子文献(包括专著或连续出版物中析出的电子文献)</w:t>
      </w:r>
    </w:p>
    <w:tbl>
      <w:tblPr>
        <w:tblStyle w:val="6"/>
        <w:tblW w:w="8102" w:type="dxa"/>
        <w:tblInd w:w="4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7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中</w:t>
            </w:r>
          </w:p>
        </w:tc>
        <w:tc>
          <w:tcPr>
            <w:tcW w:w="7676" w:type="dxa"/>
            <w:noWrap w:val="0"/>
            <w:vAlign w:val="top"/>
          </w:tcPr>
          <w:p>
            <w:pPr>
              <w:keepNext w:val="0"/>
              <w:keepLines w:val="0"/>
              <w:pageBreakBefore w:val="0"/>
              <w:widowControl w:val="0"/>
              <w:numPr>
                <w:ilvl w:val="0"/>
                <w:numId w:val="0"/>
              </w:numPr>
              <w:kinsoku/>
              <w:wordWrap w:val="0"/>
              <w:overflowPunct/>
              <w:topLinePunct w:val="0"/>
              <w:autoSpaceDE/>
              <w:autoSpaceDN/>
              <w:bidi w:val="0"/>
              <w:adjustRightInd/>
              <w:snapToGrid/>
              <w:textAlignment w:val="auto"/>
              <w:rPr>
                <w:rFonts w:hint="eastAsia"/>
              </w:rPr>
            </w:pPr>
            <w:r>
              <w:rPr>
                <w:rFonts w:hint="eastAsia"/>
              </w:rPr>
              <w:t>[1]</w:t>
            </w:r>
            <w:r>
              <w:rPr>
                <w:rFonts w:hint="eastAsia"/>
                <w:lang w:val="en-US" w:eastAsia="zh-CN"/>
              </w:rPr>
              <w:t xml:space="preserve"> </w:t>
            </w:r>
            <w:r>
              <w:rPr>
                <w:rFonts w:hint="eastAsia"/>
              </w:rPr>
              <w:t>中国国家药品监督管理局.</w:t>
            </w:r>
            <w:r>
              <w:rPr>
                <w:rFonts w:hint="eastAsia"/>
                <w:lang w:val="en-US" w:eastAsia="zh-CN"/>
              </w:rPr>
              <w:t xml:space="preserve"> </w:t>
            </w:r>
            <w:r>
              <w:rPr>
                <w:rFonts w:hint="eastAsia"/>
              </w:rPr>
              <w:t>中国国家药品监督管理局当选为国际人用药品注册技术协调会管理委员会成员[EB/OL]. (2018-06-07)[2019-05-06].  http://www.nmpa.gov.cn/WS04/CL2056/228304.html.</w:t>
            </w:r>
          </w:p>
          <w:p>
            <w:pPr>
              <w:keepNext w:val="0"/>
              <w:keepLines w:val="0"/>
              <w:pageBreakBefore w:val="0"/>
              <w:widowControl w:val="0"/>
              <w:numPr>
                <w:ilvl w:val="0"/>
                <w:numId w:val="0"/>
              </w:numPr>
              <w:kinsoku/>
              <w:wordWrap w:val="0"/>
              <w:overflowPunct/>
              <w:topLinePunct w:val="0"/>
              <w:autoSpaceDE/>
              <w:autoSpaceDN/>
              <w:bidi w:val="0"/>
              <w:adjustRightInd/>
              <w:snapToGrid/>
              <w:textAlignment w:val="auto"/>
              <w:rPr>
                <w:rFonts w:hint="eastAsia"/>
                <w:vertAlign w:val="baseline"/>
              </w:rPr>
            </w:pPr>
            <w:r>
              <w:rPr>
                <w:rFonts w:hint="eastAsia"/>
              </w:rPr>
              <w:t>[1]</w:t>
            </w:r>
            <w:r>
              <w:rPr>
                <w:rFonts w:hint="eastAsia"/>
                <w:lang w:val="en-US" w:eastAsia="zh-CN"/>
              </w:rPr>
              <w:t xml:space="preserve"> </w:t>
            </w:r>
            <w:r>
              <w:rPr>
                <w:rFonts w:hint="eastAsia"/>
              </w:rPr>
              <w:t>National Medical Products Administration. National Medical Products Administration was elected as a member of the Administrative Committee of the International Conference on Harmonization[EB/OL].</w:t>
            </w:r>
            <w:r>
              <w:rPr>
                <w:rFonts w:hint="eastAsia"/>
                <w:lang w:val="en-US" w:eastAsia="zh-CN"/>
              </w:rPr>
              <w:t xml:space="preserve"> </w:t>
            </w:r>
            <w:r>
              <w:rPr>
                <w:rFonts w:hint="eastAsia"/>
              </w:rPr>
              <w:t>(2018-06-07)[2019-05-06]. http://www.nmpa.gov.cn/WS04/CL2056/228304.html.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ascii="Calibri" w:hAnsi="Calibri" w:eastAsia="宋体" w:cs="Times New Roman"/>
                <w:kern w:val="2"/>
                <w:sz w:val="21"/>
                <w:szCs w:val="24"/>
                <w:lang w:val="en-US" w:eastAsia="zh-CN" w:bidi="ar-SA"/>
              </w:rPr>
            </w:pPr>
            <w:r>
              <w:rPr>
                <w:rFonts w:hint="eastAsia"/>
                <w:lang w:eastAsia="zh-CN"/>
              </w:rPr>
              <w:t>英</w:t>
            </w:r>
          </w:p>
        </w:tc>
        <w:tc>
          <w:tcPr>
            <w:tcW w:w="7676" w:type="dxa"/>
            <w:noWrap w:val="0"/>
            <w:vAlign w:val="top"/>
          </w:tcPr>
          <w:p>
            <w:pPr>
              <w:keepNext w:val="0"/>
              <w:keepLines w:val="0"/>
              <w:pageBreakBefore w:val="0"/>
              <w:widowControl w:val="0"/>
              <w:kinsoku/>
              <w:wordWrap w:val="0"/>
              <w:overflowPunct/>
              <w:topLinePunct w:val="0"/>
              <w:autoSpaceDE/>
              <w:autoSpaceDN/>
              <w:bidi w:val="0"/>
              <w:adjustRightInd/>
              <w:snapToGrid/>
              <w:textAlignment w:val="auto"/>
              <w:rPr>
                <w:rFonts w:hint="eastAsia"/>
                <w:vertAlign w:val="baseline"/>
              </w:rPr>
            </w:pPr>
            <w:r>
              <w:rPr>
                <w:rFonts w:hint="eastAsia"/>
              </w:rPr>
              <w:t>[2]</w:t>
            </w:r>
            <w:r>
              <w:rPr>
                <w:rFonts w:hint="eastAsia"/>
                <w:lang w:val="en-US" w:eastAsia="zh-CN"/>
              </w:rPr>
              <w:t xml:space="preserve"> </w:t>
            </w:r>
            <w:r>
              <w:rPr>
                <w:rFonts w:hint="eastAsia"/>
              </w:rPr>
              <w:t>CHRISTINE M.</w:t>
            </w:r>
            <w:r>
              <w:rPr>
                <w:rFonts w:hint="eastAsia"/>
                <w:lang w:val="en-US" w:eastAsia="zh-CN"/>
              </w:rPr>
              <w:t xml:space="preserve"> </w:t>
            </w:r>
            <w:r>
              <w:rPr>
                <w:rFonts w:hint="eastAsia"/>
              </w:rPr>
              <w:t>Plant physiology：plant　biology in the Genome Era</w:t>
            </w:r>
            <w:r>
              <w:rPr>
                <w:rFonts w:hint="eastAsia"/>
                <w:lang w:val="en-US" w:eastAsia="zh-CN"/>
              </w:rPr>
              <w:t xml:space="preserve"> </w:t>
            </w:r>
            <w:r>
              <w:rPr>
                <w:rFonts w:hint="eastAsia"/>
              </w:rPr>
              <w:t>[J/OL].</w:t>
            </w:r>
            <w:r>
              <w:rPr>
                <w:rFonts w:hint="eastAsia"/>
                <w:lang w:val="en-US" w:eastAsia="zh-CN"/>
              </w:rPr>
              <w:t xml:space="preserve"> </w:t>
            </w:r>
            <w:r>
              <w:rPr>
                <w:rFonts w:hint="eastAsia"/>
              </w:rPr>
              <w:t>Science</w:t>
            </w:r>
            <w:r>
              <w:rPr>
                <w:rFonts w:hint="eastAsia"/>
                <w:lang w:val="en-US" w:eastAsia="zh-CN"/>
              </w:rPr>
              <w:t xml:space="preserve">, </w:t>
            </w:r>
            <w:r>
              <w:rPr>
                <w:rFonts w:hint="eastAsia"/>
              </w:rPr>
              <w:t>1998</w:t>
            </w:r>
            <w:r>
              <w:rPr>
                <w:rFonts w:hint="eastAsia"/>
                <w:lang w:val="en-US" w:eastAsia="zh-CN"/>
              </w:rPr>
              <w:t xml:space="preserve">, </w:t>
            </w:r>
            <w:r>
              <w:rPr>
                <w:rFonts w:hint="eastAsia"/>
              </w:rPr>
              <w:t>281</w:t>
            </w:r>
            <w:r>
              <w:rPr>
                <w:rFonts w:hint="eastAsia"/>
                <w:lang w:val="en-US" w:eastAsia="zh-CN"/>
              </w:rPr>
              <w:t xml:space="preserve">: </w:t>
            </w:r>
            <w:r>
              <w:rPr>
                <w:rFonts w:hint="eastAsia"/>
              </w:rPr>
              <w:t>331-332[1988-09-23]</w:t>
            </w:r>
            <w:r>
              <w:rPr>
                <w:rFonts w:hint="eastAsia"/>
                <w:lang w:val="en-US" w:eastAsia="zh-CN"/>
              </w:rPr>
              <w:t xml:space="preserve">.  </w:t>
            </w:r>
            <w:r>
              <w:rPr>
                <w:rFonts w:hint="eastAsia"/>
              </w:rPr>
              <w:t>http</w:t>
            </w:r>
            <w:r>
              <w:rPr>
                <w:rFonts w:hint="eastAsia"/>
                <w:lang w:val="en-US" w:eastAsia="zh-CN"/>
              </w:rPr>
              <w:t>:</w:t>
            </w:r>
            <w:r>
              <w:rPr>
                <w:rFonts w:hint="eastAsia"/>
              </w:rPr>
              <w:t>//www.Sciencemag.org/cgi/collection/anatmorp.</w:t>
            </w:r>
          </w:p>
        </w:tc>
      </w:tr>
    </w:tbl>
    <w:p>
      <w:pPr>
        <w:spacing w:line="360" w:lineRule="auto"/>
        <w:ind w:firstLine="316" w:firstLineChars="150"/>
        <w:rPr>
          <w:rFonts w:hint="eastAsia" w:cs="Times New Roman" w:asciiTheme="minorEastAsia" w:hAnsiTheme="minorEastAsia"/>
          <w:kern w:val="0"/>
          <w:szCs w:val="21"/>
          <w:lang w:eastAsia="zh-CN"/>
        </w:rPr>
      </w:pPr>
      <w:r>
        <w:rPr>
          <w:rFonts w:hint="eastAsia" w:cs="Times New Roman" w:asciiTheme="minorEastAsia" w:hAnsiTheme="minorEastAsia"/>
          <w:b/>
          <w:bCs/>
          <w:kern w:val="0"/>
          <w:szCs w:val="21"/>
          <w:lang w:eastAsia="zh-CN"/>
        </w:rPr>
        <w:t>（10）文献类型和电子文献载体标志代码</w:t>
      </w:r>
      <w:r>
        <w:rPr>
          <w:rFonts w:hint="eastAsia" w:cs="Times New Roman" w:asciiTheme="minorEastAsia" w:hAnsiTheme="minorEastAsia"/>
          <w:kern w:val="0"/>
          <w:szCs w:val="21"/>
          <w:lang w:eastAsia="zh-CN"/>
        </w:rPr>
        <w:t>　</w:t>
      </w:r>
    </w:p>
    <w:p>
      <w:pPr>
        <w:widowControl/>
        <w:spacing w:line="360" w:lineRule="auto"/>
        <w:jc w:val="center"/>
        <w:rPr>
          <w:rFonts w:hint="eastAsia" w:cs="Arial" w:asciiTheme="minorEastAsia" w:hAnsiTheme="minorEastAsia"/>
          <w:color w:val="000000"/>
          <w:kern w:val="0"/>
          <w:szCs w:val="21"/>
        </w:rPr>
      </w:pPr>
      <w:r>
        <w:rPr>
          <w:rFonts w:hint="eastAsia" w:cs="Times New Roman" w:asciiTheme="minorEastAsia" w:hAnsiTheme="minorEastAsia"/>
          <w:kern w:val="0"/>
          <w:szCs w:val="21"/>
          <w:lang w:eastAsia="zh-CN"/>
        </w:rPr>
        <w:t>参考文献类型标志代码简表</w:t>
      </w:r>
      <w:r>
        <w:rPr>
          <w:rFonts w:cs="Arial" w:asciiTheme="minorEastAsia" w:hAnsiTheme="minorEastAsia"/>
          <w:color w:val="000000"/>
          <w:kern w:val="0"/>
          <w:szCs w:val="21"/>
        </w:rPr>
        <w:drawing>
          <wp:inline distT="0" distB="0" distL="0" distR="0">
            <wp:extent cx="5285740" cy="1876425"/>
            <wp:effectExtent l="0" t="0" r="1016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5285740" cy="1876425"/>
                    </a:xfrm>
                    <a:prstGeom prst="rect">
                      <a:avLst/>
                    </a:prstGeom>
                    <a:noFill/>
                  </pic:spPr>
                </pic:pic>
              </a:graphicData>
            </a:graphic>
          </wp:inline>
        </w:drawing>
      </w:r>
      <w:r>
        <w:rPr>
          <w:rFonts w:hint="eastAsia" w:cs="Arial" w:asciiTheme="minorEastAsia" w:hAnsiTheme="minorEastAsia"/>
          <w:color w:val="000000"/>
          <w:kern w:val="0"/>
          <w:szCs w:val="21"/>
        </w:rPr>
        <w:t>电子文献载体和标志代码简表</w:t>
      </w:r>
    </w:p>
    <w:p>
      <w:pPr>
        <w:widowControl/>
        <w:spacing w:line="360" w:lineRule="auto"/>
        <w:jc w:val="center"/>
        <w:rPr>
          <w:rFonts w:cs="Arial" w:asciiTheme="minorEastAsia" w:hAnsiTheme="minorEastAsia"/>
          <w:kern w:val="0"/>
          <w:szCs w:val="21"/>
        </w:rPr>
      </w:pPr>
      <w:r>
        <w:rPr>
          <w:rFonts w:cs="Arial" w:asciiTheme="minorEastAsia" w:hAnsiTheme="minorEastAsia"/>
          <w:color w:val="000000"/>
          <w:kern w:val="0"/>
          <w:szCs w:val="21"/>
        </w:rPr>
        <w:drawing>
          <wp:inline distT="0" distB="0" distL="0" distR="0">
            <wp:extent cx="4572000" cy="1256030"/>
            <wp:effectExtent l="0" t="0" r="0" b="127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4575918" cy="1257300"/>
                    </a:xfrm>
                    <a:prstGeom prst="rect">
                      <a:avLst/>
                    </a:prstGeom>
                    <a:noFill/>
                  </pic:spPr>
                </pic:pic>
              </a:graphicData>
            </a:graphic>
          </wp:inline>
        </w:drawing>
      </w:r>
    </w:p>
    <w:p>
      <w:pPr>
        <w:widowControl/>
        <w:spacing w:line="360" w:lineRule="auto"/>
        <w:jc w:val="left"/>
        <w:rPr>
          <w:rFonts w:cs="Arial" w:asciiTheme="minorEastAsia" w:hAnsiTheme="minorEastAsia"/>
          <w:kern w:val="0"/>
          <w:szCs w:val="21"/>
        </w:rPr>
      </w:pPr>
      <w:r>
        <w:rPr>
          <w:rFonts w:hint="eastAsia" w:cs="Arial" w:asciiTheme="minorEastAsia" w:hAnsiTheme="minorEastAsia"/>
          <w:b/>
          <w:color w:val="000000"/>
          <w:kern w:val="0"/>
          <w:szCs w:val="21"/>
        </w:rPr>
        <w:t>（二）稿件内容相关的名词和术语规范要求</w:t>
      </w:r>
    </w:p>
    <w:p>
      <w:pPr>
        <w:widowControl/>
        <w:spacing w:line="360" w:lineRule="auto"/>
        <w:ind w:firstLine="422" w:firstLineChars="200"/>
        <w:rPr>
          <w:rFonts w:cs="Arial" w:asciiTheme="minorEastAsia" w:hAnsiTheme="minorEastAsia"/>
          <w:kern w:val="0"/>
          <w:szCs w:val="21"/>
        </w:rPr>
      </w:pPr>
      <w:r>
        <w:rPr>
          <w:rFonts w:hint="eastAsia" w:cs="Arial" w:asciiTheme="minorEastAsia" w:hAnsiTheme="minorEastAsia"/>
          <w:b/>
          <w:bCs/>
          <w:kern w:val="0"/>
          <w:szCs w:val="21"/>
        </w:rPr>
        <w:t>1.</w:t>
      </w:r>
      <w:r>
        <w:rPr>
          <w:rFonts w:cs="Arial" w:asciiTheme="minorEastAsia" w:hAnsiTheme="minorEastAsia"/>
          <w:b/>
          <w:bCs/>
          <w:kern w:val="0"/>
          <w:szCs w:val="21"/>
        </w:rPr>
        <w:t>医学名词：</w:t>
      </w:r>
      <w:r>
        <w:rPr>
          <w:rFonts w:hint="eastAsia" w:cs="Arial" w:asciiTheme="minorEastAsia" w:hAnsiTheme="minorEastAsia"/>
          <w:kern w:val="0"/>
          <w:szCs w:val="21"/>
        </w:rPr>
        <w:t>以最新版《医学主题词表》等所列词为准</w:t>
      </w:r>
      <w:r>
        <w:rPr>
          <w:rFonts w:cs="Arial" w:asciiTheme="minorEastAsia" w:hAnsiTheme="minorEastAsia"/>
          <w:kern w:val="0"/>
          <w:szCs w:val="21"/>
        </w:rPr>
        <w:t>。 </w:t>
      </w:r>
      <w:r>
        <w:rPr>
          <w:rFonts w:cs="Arial" w:asciiTheme="minorEastAsia" w:hAnsiTheme="minorEastAsia"/>
          <w:kern w:val="0"/>
          <w:szCs w:val="21"/>
        </w:rPr>
        <w:br w:type="textWrapping"/>
      </w:r>
      <w:r>
        <w:rPr>
          <w:rFonts w:hint="eastAsia" w:cs="Arial" w:asciiTheme="minorEastAsia" w:hAnsiTheme="minorEastAsia"/>
          <w:kern w:val="0"/>
          <w:szCs w:val="21"/>
        </w:rPr>
        <w:t xml:space="preserve">  </w:t>
      </w:r>
      <w:r>
        <w:rPr>
          <w:rFonts w:hint="eastAsia" w:cs="Arial" w:asciiTheme="minorEastAsia" w:hAnsiTheme="minorEastAsia"/>
          <w:b/>
          <w:bCs/>
          <w:kern w:val="0"/>
          <w:szCs w:val="21"/>
        </w:rPr>
        <w:t xml:space="preserve">  2.</w:t>
      </w:r>
      <w:r>
        <w:rPr>
          <w:rFonts w:cs="Arial" w:asciiTheme="minorEastAsia" w:hAnsiTheme="minorEastAsia"/>
          <w:b/>
          <w:bCs/>
          <w:kern w:val="0"/>
          <w:szCs w:val="21"/>
        </w:rPr>
        <w:t>药学名词：</w:t>
      </w:r>
      <w:r>
        <w:rPr>
          <w:rFonts w:hint="eastAsia" w:cs="Arial" w:asciiTheme="minorEastAsia" w:hAnsiTheme="minorEastAsia"/>
          <w:kern w:val="0"/>
          <w:szCs w:val="21"/>
        </w:rPr>
        <w:t>药学有关名词</w:t>
      </w:r>
      <w:r>
        <w:rPr>
          <w:rFonts w:cs="Arial" w:asciiTheme="minorEastAsia" w:hAnsiTheme="minorEastAsia"/>
          <w:kern w:val="0"/>
          <w:szCs w:val="21"/>
        </w:rPr>
        <w:t>以《中国药典》（20</w:t>
      </w:r>
      <w:r>
        <w:rPr>
          <w:rFonts w:hint="eastAsia" w:cs="Arial" w:asciiTheme="minorEastAsia" w:hAnsiTheme="minorEastAsia"/>
          <w:kern w:val="0"/>
          <w:szCs w:val="21"/>
        </w:rPr>
        <w:t>15</w:t>
      </w:r>
      <w:r>
        <w:rPr>
          <w:rFonts w:cs="Arial" w:asciiTheme="minorEastAsia" w:hAnsiTheme="minorEastAsia"/>
          <w:kern w:val="0"/>
          <w:szCs w:val="21"/>
        </w:rPr>
        <w:t>年版）、全国自然科学名词审定委员会审定公布的《药学名称》、《化学名词》(科学出版社) 为准，不用商品名。药名采用“国际非专利名(international nonproprietary names， INN)”，以《中国药品通用名称》(国家药典委员会编)为准。若为国家药品监督管理局批准的新药，则用批准的药名。药名较长时，可用缩写，但需在首次出现时注明，如：</w:t>
      </w:r>
      <w:r>
        <w:rPr>
          <w:rFonts w:asciiTheme="minorEastAsia" w:hAnsiTheme="minorEastAsia"/>
          <w:kern w:val="0"/>
          <w:szCs w:val="21"/>
        </w:rPr>
        <w:t>阿米卡星</w:t>
      </w:r>
      <w:r>
        <w:rPr>
          <w:rFonts w:cs="Arial" w:asciiTheme="minorEastAsia" w:hAnsiTheme="minorEastAsia"/>
          <w:kern w:val="0"/>
          <w:szCs w:val="21"/>
        </w:rPr>
        <w:t>(Amikacin,AK)；少用代号</w:t>
      </w:r>
      <w:r>
        <w:rPr>
          <w:rFonts w:hint="eastAsia" w:cs="Arial" w:asciiTheme="minorEastAsia" w:hAnsiTheme="minorEastAsia"/>
          <w:kern w:val="0"/>
          <w:szCs w:val="21"/>
        </w:rPr>
        <w:t>。</w:t>
      </w:r>
      <w:r>
        <w:rPr>
          <w:rFonts w:cs="Arial" w:asciiTheme="minorEastAsia" w:hAnsiTheme="minorEastAsia"/>
          <w:kern w:val="0"/>
          <w:szCs w:val="21"/>
        </w:rPr>
        <w:t>药名写在剂量前面。</w:t>
      </w:r>
    </w:p>
    <w:p>
      <w:pPr>
        <w:widowControl/>
        <w:spacing w:line="360" w:lineRule="auto"/>
        <w:ind w:left="401" w:leftChars="191"/>
        <w:jc w:val="left"/>
        <w:rPr>
          <w:rStyle w:val="14"/>
          <w:rFonts w:hint="default" w:asciiTheme="minorEastAsia" w:hAnsiTheme="minorEastAsia" w:eastAsiaTheme="minorEastAsia"/>
          <w:b/>
          <w:color w:val="auto"/>
          <w:sz w:val="21"/>
          <w:szCs w:val="21"/>
        </w:rPr>
      </w:pPr>
      <w:r>
        <w:rPr>
          <w:rStyle w:val="14"/>
          <w:rFonts w:hint="default" w:asciiTheme="minorEastAsia" w:hAnsiTheme="minorEastAsia"/>
          <w:b/>
          <w:color w:val="auto"/>
          <w:sz w:val="21"/>
          <w:szCs w:val="21"/>
        </w:rPr>
        <w:t>3.</w:t>
      </w:r>
      <w:r>
        <w:rPr>
          <w:rStyle w:val="14"/>
          <w:rFonts w:hint="default" w:asciiTheme="minorEastAsia" w:hAnsiTheme="minorEastAsia" w:eastAsiaTheme="minorEastAsia"/>
          <w:b/>
          <w:color w:val="auto"/>
          <w:sz w:val="21"/>
          <w:szCs w:val="21"/>
        </w:rPr>
        <w:t>正(误)、宜用(不宜用)的字和术语</w:t>
      </w:r>
    </w:p>
    <w:p>
      <w:pPr>
        <w:spacing w:line="360" w:lineRule="auto"/>
        <w:ind w:firstLine="210" w:firstLineChars="100"/>
        <w:rPr>
          <w:rStyle w:val="14"/>
          <w:rFonts w:hint="default" w:asciiTheme="minorEastAsia" w:hAnsiTheme="minorEastAsia" w:eastAsiaTheme="minorEastAsia"/>
          <w:color w:val="auto"/>
          <w:sz w:val="21"/>
          <w:szCs w:val="21"/>
        </w:rPr>
      </w:pPr>
      <w:r>
        <w:rPr>
          <w:rStyle w:val="14"/>
          <w:rFonts w:hint="default" w:asciiTheme="minorEastAsia" w:hAnsiTheme="minorEastAsia"/>
          <w:color w:val="auto"/>
          <w:sz w:val="21"/>
          <w:szCs w:val="21"/>
        </w:rPr>
        <w:t>（1）</w:t>
      </w:r>
      <w:r>
        <w:rPr>
          <w:rStyle w:val="14"/>
          <w:rFonts w:hint="default" w:asciiTheme="minorEastAsia" w:hAnsiTheme="minorEastAsia" w:eastAsiaTheme="minorEastAsia"/>
          <w:color w:val="auto"/>
          <w:sz w:val="21"/>
          <w:szCs w:val="21"/>
        </w:rPr>
        <w:t>报道（导）、订（定）阅、</w:t>
      </w:r>
      <w:r>
        <w:rPr>
          <w:rFonts w:hint="eastAsia" w:cs="Times New Roman" w:asciiTheme="minorEastAsia" w:hAnsiTheme="minorEastAsia"/>
          <w:szCs w:val="21"/>
        </w:rPr>
        <w:t>心脏搏（博）动、碱(盐、硷)基、竞(竟)争、竟（竞）然、小檗（蘖）碱、符（附）合、幅（辐）度、简练(炼)、锻炼（练）、标志(识)、战(颤)栗、机制(理）、坐（座)标、烧伤Ⅰ度（Ⅰ°）、安（按）装、</w:t>
      </w:r>
      <w:r>
        <w:rPr>
          <w:rStyle w:val="14"/>
          <w:rFonts w:hint="default" w:asciiTheme="minorEastAsia" w:hAnsiTheme="minorEastAsia" w:eastAsiaTheme="minorEastAsia"/>
          <w:color w:val="auto"/>
          <w:sz w:val="21"/>
          <w:szCs w:val="21"/>
        </w:rPr>
        <w:t>荧(萤)光、神经元(原)、糖原(元)、基原(源)、苷(甙)、递(介)质、可(考)的松、溶解(介)、解(介)剖、亚甲蓝(兰)、甲蓝(兰)、松弛(驰)、瓣(办)膜、蔓(漫)延、弥(迷)漫、覆(复)盖、圆(园)形、阑(兰)尾、副(付)作用、蛋(旦)白、针灸(炙)、莨(茛)菪、年龄(令)、末梢(稍)、 抗原(元)、横膈(隔)、纵隔(膈)、石蜡(腊)、糜(靡)烂、委靡(糜)、原型(形)排泄、大脑皮质(层)、胞质(浆)、脑(颅)神经、血管(菅)、食管(道)、淋巴结(腺)、扁桃体(腺)、红细胞(血球)、中性粒细胞(嗜中性白血球)、嗜酸粒细胞(嗜酸性白细胞)，嗜碱粒细胞(嗜碱性白细胞)、血红蛋白(血红素)、骨骼(胳)、晶体(晶状体)、组胺(组织胺) 、抗生(菌)素、维生素 A(甲) 、糖(醣)类、 功(机)能、综合征(症、症候群)、并发(合并)症、适应证(症)、禁忌证(症)、辨证(症)论治、淤(郁)血、活血化瘀(淤)、发绀(青紫、紫绀)、水(浮)肿、自身(家)免疫、脱位(骱)、血流(液)动力学、弥散(弥漫、播散)性血管内凝血、噪声(音)、超声(音)、实验室(化验)检查、肾上腺素(能)受体。</w:t>
      </w:r>
    </w:p>
    <w:p>
      <w:pPr>
        <w:spacing w:line="360" w:lineRule="auto"/>
        <w:ind w:firstLine="210" w:firstLineChars="100"/>
        <w:rPr>
          <w:rStyle w:val="14"/>
          <w:rFonts w:hint="default" w:asciiTheme="minorEastAsia" w:hAnsiTheme="minorEastAsia" w:eastAsiaTheme="minorEastAsia"/>
          <w:color w:val="auto"/>
          <w:sz w:val="21"/>
          <w:szCs w:val="21"/>
        </w:rPr>
      </w:pPr>
      <w:r>
        <w:rPr>
          <w:rStyle w:val="14"/>
          <w:rFonts w:hint="default" w:asciiTheme="minorEastAsia" w:hAnsiTheme="minorEastAsia"/>
          <w:color w:val="auto"/>
          <w:sz w:val="21"/>
          <w:szCs w:val="21"/>
        </w:rPr>
        <w:t>（2）</w:t>
      </w:r>
      <w:r>
        <w:rPr>
          <w:rStyle w:val="14"/>
          <w:rFonts w:hint="default" w:asciiTheme="minorEastAsia" w:hAnsiTheme="minorEastAsia" w:eastAsiaTheme="minorEastAsia"/>
          <w:color w:val="auto"/>
          <w:sz w:val="21"/>
          <w:szCs w:val="21"/>
        </w:rPr>
        <w:t xml:space="preserve">解剖学名词的定名原则为部位器官定语在前，形态、性质定语次之，动作定语紧靠主格名词： 胆总管(总胆管)、 肛提肌(提肛肌)。 </w:t>
      </w:r>
    </w:p>
    <w:p>
      <w:pPr>
        <w:spacing w:line="360" w:lineRule="auto"/>
        <w:ind w:firstLine="210" w:firstLineChars="100"/>
        <w:rPr>
          <w:rStyle w:val="14"/>
          <w:rFonts w:hint="default" w:asciiTheme="minorEastAsia" w:hAnsiTheme="minorEastAsia" w:eastAsiaTheme="minorEastAsia"/>
          <w:color w:val="auto"/>
          <w:sz w:val="21"/>
          <w:szCs w:val="21"/>
        </w:rPr>
      </w:pPr>
      <w:r>
        <w:rPr>
          <w:rStyle w:val="14"/>
          <w:rFonts w:hint="default" w:asciiTheme="minorEastAsia" w:hAnsiTheme="minorEastAsia"/>
          <w:color w:val="auto"/>
          <w:sz w:val="21"/>
          <w:szCs w:val="21"/>
        </w:rPr>
        <w:t>（3）</w:t>
      </w:r>
      <w:r>
        <w:rPr>
          <w:rStyle w:val="14"/>
          <w:rFonts w:hint="default" w:asciiTheme="minorEastAsia" w:hAnsiTheme="minorEastAsia" w:eastAsiaTheme="minorEastAsia"/>
          <w:color w:val="auto"/>
          <w:sz w:val="21"/>
          <w:szCs w:val="21"/>
        </w:rPr>
        <w:t>废弃以人名命名的解剖学名词：心肌传导(浦顷野)纤维、胆道口(俄狄)括约肌、胆道口(乏特)壶腹。</w:t>
      </w:r>
    </w:p>
    <w:p>
      <w:pPr>
        <w:spacing w:line="360" w:lineRule="auto"/>
        <w:ind w:firstLine="210" w:firstLineChars="100"/>
        <w:rPr>
          <w:rStyle w:val="14"/>
          <w:rFonts w:hint="default" w:asciiTheme="minorEastAsia" w:hAnsiTheme="minorEastAsia" w:eastAsiaTheme="minorEastAsia"/>
          <w:color w:val="auto"/>
          <w:sz w:val="21"/>
          <w:szCs w:val="21"/>
        </w:rPr>
      </w:pPr>
      <w:r>
        <w:rPr>
          <w:rStyle w:val="14"/>
          <w:rFonts w:hint="default" w:asciiTheme="minorEastAsia" w:hAnsiTheme="minorEastAsia"/>
          <w:color w:val="auto"/>
          <w:sz w:val="21"/>
          <w:szCs w:val="21"/>
        </w:rPr>
        <w:t>（4）</w:t>
      </w:r>
      <w:r>
        <w:rPr>
          <w:rStyle w:val="14"/>
          <w:rFonts w:hint="default" w:asciiTheme="minorEastAsia" w:hAnsiTheme="minorEastAsia" w:eastAsiaTheme="minorEastAsia"/>
          <w:color w:val="auto"/>
          <w:sz w:val="21"/>
          <w:szCs w:val="21"/>
        </w:rPr>
        <w:t xml:space="preserve">葡萄糖与其他化合物组成复合词时， 简称葡糖， 如葡糖(葡萄糖)醛酸。 </w:t>
      </w:r>
    </w:p>
    <w:p>
      <w:pPr>
        <w:spacing w:line="360" w:lineRule="auto"/>
        <w:ind w:firstLine="210" w:firstLineChars="100"/>
        <w:rPr>
          <w:rFonts w:cs="Arial" w:asciiTheme="minorEastAsia" w:hAnsiTheme="minorEastAsia"/>
          <w:kern w:val="0"/>
          <w:szCs w:val="21"/>
        </w:rPr>
      </w:pPr>
      <w:r>
        <w:rPr>
          <w:rStyle w:val="14"/>
          <w:rFonts w:hint="default" w:asciiTheme="minorEastAsia" w:hAnsiTheme="minorEastAsia"/>
          <w:color w:val="auto"/>
          <w:sz w:val="21"/>
          <w:szCs w:val="21"/>
        </w:rPr>
        <w:t>（5）</w:t>
      </w:r>
      <w:r>
        <w:rPr>
          <w:rStyle w:val="14"/>
          <w:rFonts w:hint="default" w:asciiTheme="minorEastAsia" w:hAnsiTheme="minorEastAsia" w:eastAsiaTheme="minorEastAsia"/>
          <w:color w:val="auto"/>
          <w:sz w:val="21"/>
          <w:szCs w:val="21"/>
        </w:rPr>
        <w:t>t1/2(半寿期、半衰期、半减期)。病历或涉及病人姓名时，不用××，如：张某(张×，张××)。用人名构成的名词术语，如只用单个汉字表示人名时，则加氏字，如：布氏杆菌(布杆菌)。但如用 2 个以上汉字表示人名时，不加氏字，如：革兰染色(革兰氏染色)、革兰阳性细菌(革兰氏阳性细菌)。霍奇金病(何杰金病、何杰金氏病)、剖宫(腹)产、梗死(塞)、梅尼埃(美尼尔)病。</w:t>
      </w:r>
    </w:p>
    <w:p>
      <w:pPr>
        <w:widowControl/>
        <w:spacing w:line="360" w:lineRule="auto"/>
        <w:rPr>
          <w:rFonts w:cs="Arial" w:asciiTheme="minorEastAsia" w:hAnsiTheme="minorEastAsia"/>
          <w:kern w:val="0"/>
          <w:szCs w:val="21"/>
        </w:rPr>
      </w:pPr>
      <w:r>
        <w:rPr>
          <w:rFonts w:hint="eastAsia" w:cs="Arial" w:asciiTheme="minorEastAsia" w:hAnsiTheme="minorEastAsia"/>
          <w:b/>
          <w:color w:val="000000"/>
          <w:kern w:val="0"/>
          <w:szCs w:val="21"/>
        </w:rPr>
        <w:t>（三）稿件内容相关的图表、单位等标准和规范要求</w:t>
      </w:r>
    </w:p>
    <w:p>
      <w:pPr>
        <w:widowControl/>
        <w:spacing w:line="360" w:lineRule="auto"/>
        <w:ind w:firstLine="360"/>
        <w:rPr>
          <w:rFonts w:cs="Arial" w:asciiTheme="minorEastAsia" w:hAnsiTheme="minorEastAsia"/>
          <w:kern w:val="0"/>
          <w:szCs w:val="21"/>
        </w:rPr>
      </w:pPr>
      <w:r>
        <w:rPr>
          <w:rFonts w:hint="eastAsia" w:cs="Arial" w:asciiTheme="minorEastAsia" w:hAnsiTheme="minorEastAsia"/>
          <w:b/>
          <w:bCs/>
          <w:kern w:val="0"/>
          <w:szCs w:val="21"/>
        </w:rPr>
        <w:t>1.表和</w:t>
      </w:r>
      <w:r>
        <w:rPr>
          <w:rFonts w:cs="Arial" w:asciiTheme="minorEastAsia" w:hAnsiTheme="minorEastAsia"/>
          <w:b/>
          <w:bCs/>
          <w:kern w:val="0"/>
          <w:szCs w:val="21"/>
        </w:rPr>
        <w:t>图：</w:t>
      </w:r>
      <w:r>
        <w:rPr>
          <w:rFonts w:cs="Arial" w:asciiTheme="minorEastAsia" w:hAnsiTheme="minorEastAsia"/>
          <w:kern w:val="0"/>
          <w:szCs w:val="21"/>
        </w:rPr>
        <w:t>图表要设计合理，达到自明，即使只看图表就能大体了解实验内容 (图注和表注应适当简述实验内容)</w:t>
      </w:r>
      <w:r>
        <w:rPr>
          <w:rFonts w:hint="eastAsia" w:cs="Arial" w:asciiTheme="minorEastAsia" w:hAnsiTheme="minorEastAsia"/>
          <w:kern w:val="0"/>
          <w:szCs w:val="21"/>
        </w:rPr>
        <w:t>，</w:t>
      </w:r>
      <w:r>
        <w:rPr>
          <w:rFonts w:cs="Arial" w:asciiTheme="minorEastAsia" w:hAnsiTheme="minorEastAsia"/>
          <w:kern w:val="0"/>
          <w:szCs w:val="21"/>
        </w:rPr>
        <w:t>切忌与正文及表的内容重复。凡文字能表述清楚者，不必再用表、图。表格用三</w:t>
      </w:r>
      <w:r>
        <w:rPr>
          <w:rFonts w:hint="eastAsia" w:cs="Arial" w:asciiTheme="minorEastAsia" w:hAnsiTheme="minorEastAsia"/>
          <w:kern w:val="0"/>
          <w:szCs w:val="21"/>
        </w:rPr>
        <w:t>横</w:t>
      </w:r>
      <w:r>
        <w:rPr>
          <w:rFonts w:cs="Arial" w:asciiTheme="minorEastAsia" w:hAnsiTheme="minorEastAsia"/>
          <w:kern w:val="0"/>
          <w:szCs w:val="21"/>
        </w:rPr>
        <w:t>线表（顶线、表头线、底线），栏目项不应有空缺。表内尽量不用或少用标点符号，数字对齐 (如</w:t>
      </w:r>
      <w:r>
        <w:rPr>
          <w:rFonts w:hint="eastAsia" w:cs="Arial" w:asciiTheme="minorEastAsia" w:hAnsiTheme="minorEastAsia"/>
          <w:kern w:val="0"/>
          <w:szCs w:val="21"/>
        </w:rPr>
        <w:t>“</w:t>
      </w:r>
      <w:r>
        <w:rPr>
          <w:rFonts w:cs="Arial" w:asciiTheme="minorEastAsia" w:hAnsiTheme="minorEastAsia"/>
          <w:kern w:val="0"/>
          <w:szCs w:val="21"/>
        </w:rPr>
        <w:t>±</w:t>
      </w:r>
      <w:r>
        <w:rPr>
          <w:rFonts w:hint="eastAsia" w:cs="Arial" w:asciiTheme="minorEastAsia" w:hAnsiTheme="minorEastAsia"/>
          <w:kern w:val="0"/>
          <w:szCs w:val="21"/>
        </w:rPr>
        <w:t>”</w:t>
      </w:r>
      <w:r>
        <w:rPr>
          <w:rFonts w:cs="Arial" w:asciiTheme="minorEastAsia" w:hAnsiTheme="minorEastAsia"/>
          <w:kern w:val="0"/>
          <w:szCs w:val="21"/>
        </w:rPr>
        <w:t>号对齐，小数点对齐等)。图表中量和单位应是量的符号在前，单位符号在后，其间加一斜线的方式表示，如：t/h (表示以h为法定单位的时间)。图表都应用阿拉伯数字依次编号，只有1个时，仍用</w:t>
      </w:r>
      <w:r>
        <w:rPr>
          <w:rFonts w:hint="eastAsia" w:cs="Arial" w:asciiTheme="minorEastAsia" w:hAnsiTheme="minorEastAsia"/>
          <w:kern w:val="0"/>
          <w:szCs w:val="21"/>
        </w:rPr>
        <w:t>“</w:t>
      </w:r>
      <w:r>
        <w:rPr>
          <w:rFonts w:cs="Arial" w:asciiTheme="minorEastAsia" w:hAnsiTheme="minorEastAsia"/>
          <w:kern w:val="0"/>
          <w:szCs w:val="21"/>
        </w:rPr>
        <w:t>表1</w:t>
      </w:r>
      <w:r>
        <w:rPr>
          <w:rFonts w:hint="eastAsia" w:cs="Arial" w:asciiTheme="minorEastAsia" w:hAnsiTheme="minorEastAsia"/>
          <w:kern w:val="0"/>
          <w:szCs w:val="21"/>
        </w:rPr>
        <w:t>”</w:t>
      </w:r>
      <w:r>
        <w:rPr>
          <w:rFonts w:cs="Arial" w:asciiTheme="minorEastAsia" w:hAnsiTheme="minorEastAsia"/>
          <w:kern w:val="0"/>
          <w:szCs w:val="21"/>
        </w:rPr>
        <w:t>或</w:t>
      </w:r>
      <w:r>
        <w:rPr>
          <w:rFonts w:hint="eastAsia" w:cs="Arial" w:asciiTheme="minorEastAsia" w:hAnsiTheme="minorEastAsia"/>
          <w:kern w:val="0"/>
          <w:szCs w:val="21"/>
        </w:rPr>
        <w:t>“</w:t>
      </w:r>
      <w:r>
        <w:rPr>
          <w:rFonts w:cs="Arial" w:asciiTheme="minorEastAsia" w:hAnsiTheme="minorEastAsia"/>
          <w:kern w:val="0"/>
          <w:szCs w:val="21"/>
        </w:rPr>
        <w:t>图1</w:t>
      </w:r>
      <w:r>
        <w:rPr>
          <w:rFonts w:hint="eastAsia" w:cs="Arial" w:asciiTheme="minorEastAsia" w:hAnsiTheme="minorEastAsia"/>
          <w:kern w:val="0"/>
          <w:szCs w:val="21"/>
        </w:rPr>
        <w:t>”</w:t>
      </w:r>
      <w:r>
        <w:rPr>
          <w:rFonts w:cs="Arial" w:asciiTheme="minorEastAsia" w:hAnsiTheme="minorEastAsia"/>
          <w:kern w:val="0"/>
          <w:szCs w:val="21"/>
        </w:rPr>
        <w:t>表示。图表分单栏和双栏放置，通栏的图和表最好置于页面的最上方或最下方。图要求虚实分明、均匀、清晰。图注应放在图题下面。文中照片 (黑白或彩色) 必须反差鲜明，清晰易辨；如果照片内需标注文字、数字或符号等，不要在照片上作标记</w:t>
      </w:r>
      <w:r>
        <w:rPr>
          <w:rFonts w:hint="eastAsia" w:cs="Arial" w:asciiTheme="minorEastAsia" w:hAnsiTheme="minorEastAsia"/>
          <w:kern w:val="0"/>
          <w:szCs w:val="21"/>
        </w:rPr>
        <w:t>。</w:t>
      </w:r>
    </w:p>
    <w:p>
      <w:pPr>
        <w:widowControl/>
        <w:spacing w:line="360" w:lineRule="auto"/>
        <w:ind w:firstLine="422" w:firstLineChars="200"/>
        <w:jc w:val="left"/>
        <w:rPr>
          <w:rFonts w:cs="Arial" w:asciiTheme="minorEastAsia" w:hAnsiTheme="minorEastAsia"/>
          <w:kern w:val="0"/>
          <w:szCs w:val="21"/>
        </w:rPr>
      </w:pPr>
      <w:r>
        <w:rPr>
          <w:rFonts w:hint="eastAsia" w:cs="Arial" w:asciiTheme="minorEastAsia" w:hAnsiTheme="minorEastAsia"/>
          <w:b/>
          <w:bCs/>
          <w:kern w:val="0"/>
          <w:szCs w:val="21"/>
        </w:rPr>
        <w:t>2.</w:t>
      </w:r>
      <w:r>
        <w:rPr>
          <w:rFonts w:cs="Arial" w:asciiTheme="minorEastAsia" w:hAnsiTheme="minorEastAsia"/>
          <w:b/>
          <w:bCs/>
          <w:kern w:val="0"/>
          <w:szCs w:val="21"/>
        </w:rPr>
        <w:t>计量单位</w:t>
      </w:r>
      <w:r>
        <w:rPr>
          <w:rFonts w:hint="eastAsia" w:cs="Arial" w:asciiTheme="minorEastAsia" w:hAnsiTheme="minorEastAsia"/>
          <w:b/>
          <w:bCs/>
          <w:kern w:val="0"/>
          <w:szCs w:val="21"/>
        </w:rPr>
        <w:t>：</w:t>
      </w:r>
      <w:r>
        <w:rPr>
          <w:rFonts w:cs="Arial" w:asciiTheme="minorEastAsia" w:hAnsiTheme="minorEastAsia"/>
          <w:kern w:val="0"/>
          <w:szCs w:val="21"/>
        </w:rPr>
        <w:t>计量单位一律采用以国际单位制为基础的</w:t>
      </w:r>
      <w:r>
        <w:rPr>
          <w:rFonts w:hint="eastAsia" w:cs="Arial" w:asciiTheme="minorEastAsia" w:hAnsiTheme="minorEastAsia"/>
          <w:kern w:val="0"/>
          <w:szCs w:val="21"/>
        </w:rPr>
        <w:t>“</w:t>
      </w:r>
      <w:r>
        <w:rPr>
          <w:rFonts w:cs="Arial" w:asciiTheme="minorEastAsia" w:hAnsiTheme="minorEastAsia"/>
          <w:kern w:val="0"/>
          <w:szCs w:val="21"/>
        </w:rPr>
        <w:t>中华人民共和国法定计量单位</w:t>
      </w:r>
      <w:r>
        <w:rPr>
          <w:rFonts w:hint="eastAsia" w:cs="Arial" w:asciiTheme="minorEastAsia" w:hAnsiTheme="minorEastAsia"/>
          <w:kern w:val="0"/>
          <w:szCs w:val="21"/>
        </w:rPr>
        <w:t>”</w:t>
      </w:r>
      <w:r>
        <w:rPr>
          <w:rFonts w:cs="Arial" w:asciiTheme="minorEastAsia" w:hAnsiTheme="minorEastAsia"/>
          <w:kern w:val="0"/>
          <w:szCs w:val="21"/>
        </w:rPr>
        <w:t>(简称</w:t>
      </w:r>
      <w:r>
        <w:rPr>
          <w:rFonts w:hint="eastAsia" w:cs="Arial" w:asciiTheme="minorEastAsia" w:hAnsiTheme="minorEastAsia"/>
          <w:kern w:val="0"/>
          <w:szCs w:val="21"/>
        </w:rPr>
        <w:t>“</w:t>
      </w:r>
      <w:r>
        <w:rPr>
          <w:rFonts w:cs="Arial" w:asciiTheme="minorEastAsia" w:hAnsiTheme="minorEastAsia"/>
          <w:kern w:val="0"/>
          <w:szCs w:val="21"/>
        </w:rPr>
        <w:t>法定单位</w:t>
      </w:r>
      <w:r>
        <w:rPr>
          <w:rFonts w:hint="eastAsia" w:cs="Arial" w:asciiTheme="minorEastAsia" w:hAnsiTheme="minorEastAsia"/>
          <w:kern w:val="0"/>
          <w:szCs w:val="21"/>
        </w:rPr>
        <w:t>”</w:t>
      </w:r>
      <w:r>
        <w:rPr>
          <w:rFonts w:cs="Arial" w:asciiTheme="minorEastAsia" w:hAnsiTheme="minorEastAsia"/>
          <w:kern w:val="0"/>
          <w:szCs w:val="21"/>
        </w:rPr>
        <w:t>)。请参阅《量和单位》(北京：中国标准出版社)。参量及其公差均需附单位。</w:t>
      </w:r>
    </w:p>
    <w:p>
      <w:pPr>
        <w:widowControl/>
        <w:spacing w:line="360" w:lineRule="auto"/>
        <w:ind w:firstLine="422" w:firstLineChars="200"/>
        <w:jc w:val="left"/>
        <w:rPr>
          <w:rFonts w:cs="Arial" w:asciiTheme="minorEastAsia" w:hAnsiTheme="minorEastAsia"/>
          <w:kern w:val="0"/>
          <w:szCs w:val="21"/>
        </w:rPr>
      </w:pPr>
      <w:r>
        <w:rPr>
          <w:rFonts w:hint="eastAsia" w:cs="Arial" w:asciiTheme="minorEastAsia" w:hAnsiTheme="minorEastAsia"/>
          <w:b/>
          <w:bCs/>
          <w:kern w:val="0"/>
          <w:szCs w:val="21"/>
        </w:rPr>
        <w:t>3.</w:t>
      </w:r>
      <w:r>
        <w:rPr>
          <w:rFonts w:cs="Arial" w:asciiTheme="minorEastAsia" w:hAnsiTheme="minorEastAsia"/>
          <w:b/>
          <w:bCs/>
          <w:kern w:val="0"/>
          <w:szCs w:val="21"/>
        </w:rPr>
        <w:t>数字：</w:t>
      </w:r>
      <w:r>
        <w:rPr>
          <w:rFonts w:cs="Arial" w:asciiTheme="minorEastAsia" w:hAnsiTheme="minorEastAsia"/>
          <w:kern w:val="0"/>
          <w:szCs w:val="21"/>
        </w:rPr>
        <w:t>作为量词与序数词一律用阿拉伯数字，数字符号按国家标准GB3102.11-93执行。如：20世纪80年代，第2卷；作为词表构成定性的词、词组、惯用语、缩略语或具有修辞色彩的语句用汉字，如二倍体、三叉神经痛等。单位符号前的数字最好在0.1</w:t>
      </w:r>
      <w:r>
        <w:rPr>
          <w:rFonts w:hint="eastAsia" w:cs="Arial" w:asciiTheme="minorEastAsia" w:hAnsiTheme="minorEastAsia"/>
          <w:kern w:val="0"/>
          <w:szCs w:val="21"/>
        </w:rPr>
        <w:t>～</w:t>
      </w:r>
      <w:r>
        <w:rPr>
          <w:rFonts w:cs="Arial" w:asciiTheme="minorEastAsia" w:hAnsiTheme="minorEastAsia"/>
          <w:kern w:val="0"/>
          <w:szCs w:val="21"/>
        </w:rPr>
        <w:t>1 000，必要时改用适当的词头符号，如：M，m或以10</w:t>
      </w:r>
      <w:r>
        <w:rPr>
          <w:rFonts w:cs="Arial" w:asciiTheme="minorEastAsia" w:hAnsiTheme="minorEastAsia"/>
          <w:kern w:val="0"/>
          <w:szCs w:val="21"/>
          <w:vertAlign w:val="superscript"/>
        </w:rPr>
        <w:t>n</w:t>
      </w:r>
      <w:r>
        <w:rPr>
          <w:rFonts w:cs="Arial" w:asciiTheme="minorEastAsia" w:hAnsiTheme="minorEastAsia"/>
          <w:kern w:val="0"/>
          <w:szCs w:val="21"/>
        </w:rPr>
        <w:t>，10</w:t>
      </w:r>
      <w:r>
        <w:rPr>
          <w:rFonts w:cs="Arial" w:asciiTheme="minorEastAsia" w:hAnsiTheme="minorEastAsia"/>
          <w:kern w:val="0"/>
          <w:szCs w:val="21"/>
          <w:vertAlign w:val="superscript"/>
        </w:rPr>
        <w:t>-n</w:t>
      </w:r>
      <w:r>
        <w:rPr>
          <w:rFonts w:cs="Arial" w:asciiTheme="minorEastAsia" w:hAnsiTheme="minorEastAsia"/>
          <w:kern w:val="0"/>
          <w:szCs w:val="21"/>
        </w:rPr>
        <w:t>表示。数字的增加可用倍数，减少则用分数或百分数表示。年份应写出全称，如1998年不写成98年，2</w:t>
      </w:r>
      <w:r>
        <w:rPr>
          <w:rFonts w:hint="eastAsia" w:cs="Arial" w:asciiTheme="minorEastAsia" w:hAnsiTheme="minorEastAsia"/>
          <w:kern w:val="0"/>
          <w:szCs w:val="21"/>
        </w:rPr>
        <w:t>～</w:t>
      </w:r>
      <w:r>
        <w:rPr>
          <w:rFonts w:cs="Arial" w:asciiTheme="minorEastAsia" w:hAnsiTheme="minorEastAsia"/>
          <w:kern w:val="0"/>
          <w:szCs w:val="21"/>
        </w:rPr>
        <w:t>6%应写为2%</w:t>
      </w:r>
      <w:r>
        <w:rPr>
          <w:rFonts w:hint="eastAsia" w:cs="Arial" w:asciiTheme="minorEastAsia" w:hAnsiTheme="minorEastAsia"/>
          <w:kern w:val="0"/>
          <w:szCs w:val="21"/>
        </w:rPr>
        <w:t>～</w:t>
      </w:r>
      <w:r>
        <w:rPr>
          <w:rFonts w:cs="Arial" w:asciiTheme="minorEastAsia" w:hAnsiTheme="minorEastAsia"/>
          <w:kern w:val="0"/>
          <w:szCs w:val="21"/>
        </w:rPr>
        <w:t>6%，5</w:t>
      </w:r>
      <w:r>
        <w:rPr>
          <w:rFonts w:hint="eastAsia" w:cs="Arial" w:asciiTheme="minorEastAsia" w:hAnsiTheme="minorEastAsia"/>
          <w:kern w:val="0"/>
          <w:szCs w:val="21"/>
        </w:rPr>
        <w:t>～</w:t>
      </w:r>
      <w:r>
        <w:rPr>
          <w:rFonts w:cs="Arial" w:asciiTheme="minorEastAsia" w:hAnsiTheme="minorEastAsia"/>
          <w:kern w:val="0"/>
          <w:szCs w:val="21"/>
        </w:rPr>
        <w:t>7×10</w:t>
      </w:r>
      <w:r>
        <w:rPr>
          <w:rFonts w:cs="Arial" w:asciiTheme="minorEastAsia" w:hAnsiTheme="minorEastAsia"/>
          <w:kern w:val="0"/>
          <w:szCs w:val="21"/>
          <w:vertAlign w:val="superscript"/>
        </w:rPr>
        <w:t>4</w:t>
      </w:r>
      <w:r>
        <w:rPr>
          <w:rFonts w:cs="Arial" w:asciiTheme="minorEastAsia" w:hAnsiTheme="minorEastAsia"/>
          <w:kern w:val="0"/>
          <w:szCs w:val="21"/>
        </w:rPr>
        <w:t>应写为5×10</w:t>
      </w:r>
      <w:r>
        <w:rPr>
          <w:rFonts w:cs="Arial" w:asciiTheme="minorEastAsia" w:hAnsiTheme="minorEastAsia"/>
          <w:kern w:val="0"/>
          <w:szCs w:val="21"/>
          <w:vertAlign w:val="superscript"/>
        </w:rPr>
        <w:t>4</w:t>
      </w:r>
      <w:r>
        <w:rPr>
          <w:rFonts w:hint="eastAsia" w:cs="Arial" w:asciiTheme="minorEastAsia" w:hAnsiTheme="minorEastAsia"/>
          <w:kern w:val="0"/>
          <w:szCs w:val="21"/>
        </w:rPr>
        <w:t>～</w:t>
      </w:r>
      <w:r>
        <w:rPr>
          <w:rFonts w:cs="Arial" w:asciiTheme="minorEastAsia" w:hAnsiTheme="minorEastAsia"/>
          <w:kern w:val="0"/>
          <w:szCs w:val="21"/>
        </w:rPr>
        <w:t>7×10</w:t>
      </w:r>
      <w:r>
        <w:rPr>
          <w:rFonts w:cs="Arial" w:asciiTheme="minorEastAsia" w:hAnsiTheme="minorEastAsia"/>
          <w:kern w:val="0"/>
          <w:szCs w:val="21"/>
          <w:vertAlign w:val="superscript"/>
        </w:rPr>
        <w:t>4</w:t>
      </w:r>
      <w:r>
        <w:rPr>
          <w:rFonts w:cs="Arial" w:asciiTheme="minorEastAsia" w:hAnsiTheme="minorEastAsia"/>
          <w:kern w:val="0"/>
          <w:szCs w:val="21"/>
        </w:rPr>
        <w:t>或(5</w:t>
      </w:r>
      <w:r>
        <w:rPr>
          <w:rFonts w:hint="eastAsia" w:cs="Arial" w:asciiTheme="minorEastAsia" w:hAnsiTheme="minorEastAsia"/>
          <w:kern w:val="0"/>
          <w:szCs w:val="21"/>
        </w:rPr>
        <w:t>～</w:t>
      </w:r>
      <w:r>
        <w:rPr>
          <w:rFonts w:cs="Arial" w:asciiTheme="minorEastAsia" w:hAnsiTheme="minorEastAsia"/>
          <w:kern w:val="0"/>
          <w:szCs w:val="21"/>
        </w:rPr>
        <w:t>7)×10</w:t>
      </w:r>
      <w:r>
        <w:rPr>
          <w:rFonts w:cs="Arial" w:asciiTheme="minorEastAsia" w:hAnsiTheme="minorEastAsia"/>
          <w:kern w:val="0"/>
          <w:szCs w:val="21"/>
          <w:vertAlign w:val="superscript"/>
        </w:rPr>
        <w:t>4</w:t>
      </w:r>
      <w:r>
        <w:rPr>
          <w:rFonts w:cs="Arial" w:asciiTheme="minorEastAsia" w:hAnsiTheme="minorEastAsia"/>
          <w:kern w:val="0"/>
          <w:szCs w:val="21"/>
        </w:rPr>
        <w:t>，2×3×4 mm应写为2 mm×3 mm×4 mm。</w:t>
      </w:r>
      <w:r>
        <w:rPr>
          <w:rFonts w:hint="eastAsia" w:cs="Arial" w:asciiTheme="minorEastAsia" w:hAnsiTheme="minorEastAsia"/>
          <w:kern w:val="0"/>
          <w:szCs w:val="21"/>
        </w:rPr>
        <w:t>常用缩写为：一秒</w:t>
      </w:r>
      <w:r>
        <w:rPr>
          <w:rFonts w:cs="Arial" w:asciiTheme="minorEastAsia" w:hAnsiTheme="minorEastAsia"/>
          <w:kern w:val="0"/>
          <w:szCs w:val="21"/>
        </w:rPr>
        <w:t>1 s</w:t>
      </w:r>
      <w:r>
        <w:rPr>
          <w:rFonts w:hint="eastAsia" w:cs="Arial" w:asciiTheme="minorEastAsia" w:hAnsiTheme="minorEastAsia"/>
          <w:kern w:val="0"/>
          <w:szCs w:val="21"/>
        </w:rPr>
        <w:t>，五分钟</w:t>
      </w:r>
      <w:r>
        <w:rPr>
          <w:rFonts w:cs="Arial" w:asciiTheme="minorEastAsia" w:hAnsiTheme="minorEastAsia"/>
          <w:kern w:val="0"/>
          <w:szCs w:val="21"/>
        </w:rPr>
        <w:t>5 min</w:t>
      </w:r>
      <w:r>
        <w:rPr>
          <w:rFonts w:hint="eastAsia" w:cs="Arial" w:asciiTheme="minorEastAsia" w:hAnsiTheme="minorEastAsia"/>
          <w:kern w:val="0"/>
          <w:szCs w:val="21"/>
        </w:rPr>
        <w:t>，六小时</w:t>
      </w:r>
      <w:r>
        <w:rPr>
          <w:rFonts w:cs="Arial" w:asciiTheme="minorEastAsia" w:hAnsiTheme="minorEastAsia"/>
          <w:kern w:val="0"/>
          <w:szCs w:val="21"/>
        </w:rPr>
        <w:t>6 h</w:t>
      </w:r>
      <w:r>
        <w:rPr>
          <w:rFonts w:hint="eastAsia" w:cs="Arial" w:asciiTheme="minorEastAsia" w:hAnsiTheme="minorEastAsia"/>
          <w:kern w:val="0"/>
          <w:szCs w:val="21"/>
        </w:rPr>
        <w:t>，四天</w:t>
      </w:r>
      <w:r>
        <w:rPr>
          <w:rFonts w:cs="Arial" w:asciiTheme="minorEastAsia" w:hAnsiTheme="minorEastAsia"/>
          <w:kern w:val="0"/>
          <w:szCs w:val="21"/>
        </w:rPr>
        <w:t>4 d</w:t>
      </w:r>
      <w:r>
        <w:rPr>
          <w:rFonts w:hint="eastAsia" w:cs="Arial" w:asciiTheme="minorEastAsia" w:hAnsiTheme="minorEastAsia"/>
          <w:kern w:val="0"/>
          <w:szCs w:val="21"/>
        </w:rPr>
        <w:t>，第四天</w:t>
      </w:r>
      <w:r>
        <w:rPr>
          <w:rFonts w:cs="Arial" w:asciiTheme="minorEastAsia" w:hAnsiTheme="minorEastAsia"/>
          <w:kern w:val="0"/>
          <w:szCs w:val="21"/>
        </w:rPr>
        <w:t>d</w:t>
      </w:r>
      <w:r>
        <w:rPr>
          <w:rFonts w:hint="eastAsia" w:cs="Arial" w:asciiTheme="minorEastAsia" w:hAnsiTheme="minorEastAsia"/>
          <w:kern w:val="0"/>
          <w:szCs w:val="21"/>
        </w:rPr>
        <w:t xml:space="preserve"> </w:t>
      </w:r>
      <w:r>
        <w:rPr>
          <w:rFonts w:cs="Arial" w:asciiTheme="minorEastAsia" w:hAnsiTheme="minorEastAsia"/>
          <w:kern w:val="0"/>
          <w:szCs w:val="21"/>
        </w:rPr>
        <w:t>4</w:t>
      </w:r>
      <w:r>
        <w:rPr>
          <w:rFonts w:hint="eastAsia" w:cs="Arial" w:asciiTheme="minorEastAsia" w:hAnsiTheme="minorEastAsia"/>
          <w:kern w:val="0"/>
          <w:szCs w:val="21"/>
        </w:rPr>
        <w:t>，米</w:t>
      </w:r>
      <w:r>
        <w:rPr>
          <w:rFonts w:cs="Arial" w:asciiTheme="minorEastAsia" w:hAnsiTheme="minorEastAsia"/>
          <w:kern w:val="0"/>
          <w:szCs w:val="21"/>
        </w:rPr>
        <w:t>m</w:t>
      </w:r>
      <w:r>
        <w:rPr>
          <w:rFonts w:hint="eastAsia" w:cs="Arial" w:asciiTheme="minorEastAsia" w:hAnsiTheme="minorEastAsia"/>
          <w:kern w:val="0"/>
          <w:szCs w:val="21"/>
        </w:rPr>
        <w:t>，克</w:t>
      </w:r>
      <w:r>
        <w:rPr>
          <w:rFonts w:cs="Arial" w:asciiTheme="minorEastAsia" w:hAnsiTheme="minorEastAsia"/>
          <w:kern w:val="0"/>
          <w:szCs w:val="21"/>
        </w:rPr>
        <w:t>g</w:t>
      </w:r>
      <w:r>
        <w:rPr>
          <w:rFonts w:hint="eastAsia" w:cs="Arial" w:asciiTheme="minorEastAsia" w:hAnsiTheme="minorEastAsia"/>
          <w:kern w:val="0"/>
          <w:szCs w:val="21"/>
        </w:rPr>
        <w:t>，毫克</w:t>
      </w:r>
      <w:r>
        <w:rPr>
          <w:rFonts w:cs="Arial" w:asciiTheme="minorEastAsia" w:hAnsiTheme="minorEastAsia"/>
          <w:kern w:val="0"/>
          <w:szCs w:val="21"/>
        </w:rPr>
        <w:t>mg</w:t>
      </w:r>
      <w:r>
        <w:rPr>
          <w:rFonts w:hint="eastAsia" w:cs="Arial" w:asciiTheme="minorEastAsia" w:hAnsiTheme="minorEastAsia"/>
          <w:kern w:val="0"/>
          <w:szCs w:val="21"/>
        </w:rPr>
        <w:t>，微克</w:t>
      </w:r>
      <w:r>
        <w:rPr>
          <w:rFonts w:cs="Arial" w:asciiTheme="minorEastAsia" w:hAnsiTheme="minorEastAsia"/>
          <w:kern w:val="0"/>
          <w:szCs w:val="21"/>
        </w:rPr>
        <w:t>μg</w:t>
      </w:r>
      <w:r>
        <w:rPr>
          <w:rFonts w:hint="eastAsia" w:cs="Arial" w:asciiTheme="minorEastAsia" w:hAnsiTheme="minorEastAsia"/>
          <w:kern w:val="0"/>
          <w:szCs w:val="21"/>
        </w:rPr>
        <w:t>，升</w:t>
      </w:r>
      <w:r>
        <w:rPr>
          <w:rFonts w:cs="Arial" w:asciiTheme="minorEastAsia" w:hAnsiTheme="minorEastAsia"/>
          <w:kern w:val="0"/>
          <w:szCs w:val="21"/>
        </w:rPr>
        <w:t>L</w:t>
      </w:r>
      <w:r>
        <w:rPr>
          <w:rFonts w:hint="eastAsia" w:cs="Arial" w:asciiTheme="minorEastAsia" w:hAnsiTheme="minorEastAsia"/>
          <w:kern w:val="0"/>
          <w:szCs w:val="21"/>
        </w:rPr>
        <w:t>，毫升</w:t>
      </w:r>
      <w:r>
        <w:rPr>
          <w:rFonts w:cs="Arial" w:asciiTheme="minorEastAsia" w:hAnsiTheme="minorEastAsia"/>
          <w:kern w:val="0"/>
          <w:szCs w:val="21"/>
        </w:rPr>
        <w:t>m</w:t>
      </w:r>
      <w:r>
        <w:rPr>
          <w:rFonts w:hint="eastAsia" w:cs="Arial" w:asciiTheme="minorEastAsia" w:hAnsiTheme="minorEastAsia"/>
          <w:kern w:val="0"/>
          <w:szCs w:val="21"/>
        </w:rPr>
        <w:t>Ｌ，国际单位</w:t>
      </w:r>
      <w:r>
        <w:rPr>
          <w:rFonts w:cs="Arial" w:asciiTheme="minorEastAsia" w:hAnsiTheme="minorEastAsia"/>
          <w:kern w:val="0"/>
          <w:szCs w:val="21"/>
        </w:rPr>
        <w:t>IU</w:t>
      </w:r>
      <w:r>
        <w:rPr>
          <w:rFonts w:hint="eastAsia" w:cs="Arial" w:asciiTheme="minorEastAsia" w:hAnsiTheme="minorEastAsia"/>
          <w:kern w:val="0"/>
          <w:szCs w:val="21"/>
        </w:rPr>
        <w:t>。单位符号应写在全部数值之后，并与数值间空出</w:t>
      </w:r>
      <w:r>
        <w:rPr>
          <w:rFonts w:cs="Arial" w:asciiTheme="minorEastAsia" w:hAnsiTheme="minorEastAsia"/>
          <w:kern w:val="0"/>
          <w:szCs w:val="21"/>
        </w:rPr>
        <w:t>1</w:t>
      </w:r>
      <w:r>
        <w:rPr>
          <w:rFonts w:hint="eastAsia" w:cs="Arial" w:asciiTheme="minorEastAsia" w:hAnsiTheme="minorEastAsia"/>
          <w:kern w:val="0"/>
          <w:szCs w:val="21"/>
        </w:rPr>
        <w:t>个空格。</w:t>
      </w:r>
    </w:p>
    <w:p>
      <w:pPr>
        <w:widowControl/>
        <w:spacing w:line="360" w:lineRule="auto"/>
        <w:ind w:firstLine="422" w:firstLineChars="200"/>
        <w:jc w:val="left"/>
        <w:rPr>
          <w:rFonts w:cs="Arial" w:asciiTheme="minorEastAsia" w:hAnsiTheme="minorEastAsia"/>
          <w:kern w:val="0"/>
          <w:szCs w:val="21"/>
        </w:rPr>
      </w:pPr>
      <w:r>
        <w:rPr>
          <w:rFonts w:hint="eastAsia" w:cs="Arial" w:asciiTheme="minorEastAsia" w:hAnsiTheme="minorEastAsia"/>
          <w:b/>
          <w:bCs/>
          <w:kern w:val="0"/>
          <w:szCs w:val="21"/>
        </w:rPr>
        <w:t>4.国际代号与缩写：</w:t>
      </w:r>
      <w:r>
        <w:rPr>
          <w:rFonts w:hint="eastAsia" w:cs="Arial" w:asciiTheme="minorEastAsia" w:hAnsiTheme="minorEastAsia"/>
          <w:kern w:val="0"/>
          <w:szCs w:val="21"/>
        </w:rPr>
        <w:t xml:space="preserve">采用国际代号与缩写时，如果不是常用缩略词，应在第1次出现时给出定义。如静脉注射 (iv)。国际代号不用于无数字的文句中，如每天不写每d。 </w:t>
      </w:r>
    </w:p>
    <w:p>
      <w:pPr>
        <w:widowControl/>
        <w:spacing w:line="360" w:lineRule="auto"/>
        <w:jc w:val="left"/>
        <w:rPr>
          <w:rFonts w:cs="Arial" w:asciiTheme="minorEastAsia" w:hAnsiTheme="minorEastAsia"/>
          <w:b/>
          <w:kern w:val="0"/>
          <w:szCs w:val="21"/>
        </w:rPr>
      </w:pPr>
      <w:r>
        <w:rPr>
          <w:rFonts w:hint="eastAsia" w:cs="Arial" w:asciiTheme="minorEastAsia" w:hAnsiTheme="minorEastAsia"/>
          <w:b/>
          <w:kern w:val="0"/>
          <w:szCs w:val="21"/>
        </w:rPr>
        <w:t>二、投稿方式</w:t>
      </w:r>
    </w:p>
    <w:p>
      <w:pPr>
        <w:widowControl/>
        <w:spacing w:line="360" w:lineRule="auto"/>
        <w:ind w:firstLine="420" w:firstLineChars="200"/>
        <w:jc w:val="left"/>
        <w:rPr>
          <w:rFonts w:cs="Arial" w:asciiTheme="minorEastAsia" w:hAnsiTheme="minorEastAsia"/>
          <w:kern w:val="0"/>
          <w:szCs w:val="21"/>
        </w:rPr>
      </w:pPr>
      <w:r>
        <w:rPr>
          <w:rFonts w:hint="eastAsia" w:cs="Arial" w:asciiTheme="minorEastAsia" w:hAnsiTheme="minorEastAsia"/>
          <w:kern w:val="0"/>
          <w:szCs w:val="21"/>
        </w:rPr>
        <w:t>1</w:t>
      </w:r>
      <w:r>
        <w:rPr>
          <w:rFonts w:cs="Arial" w:asciiTheme="minorEastAsia" w:hAnsiTheme="minorEastAsia"/>
          <w:kern w:val="0"/>
          <w:szCs w:val="21"/>
        </w:rPr>
        <w:t>.所有来稿应确保无一稿两投、不涉及保密、署名无争议等事项。 </w:t>
      </w:r>
      <w:r>
        <w:rPr>
          <w:rFonts w:cs="Arial" w:asciiTheme="minorEastAsia" w:hAnsiTheme="minorEastAsia"/>
          <w:kern w:val="0"/>
          <w:szCs w:val="21"/>
        </w:rPr>
        <w:br w:type="textWrapping"/>
      </w:r>
      <w:r>
        <w:rPr>
          <w:rFonts w:hint="eastAsia" w:cs="Arial" w:asciiTheme="minorEastAsia" w:hAnsiTheme="minorEastAsia"/>
          <w:kern w:val="0"/>
          <w:szCs w:val="21"/>
        </w:rPr>
        <w:t xml:space="preserve">    2</w:t>
      </w:r>
      <w:r>
        <w:rPr>
          <w:rFonts w:cs="Arial" w:asciiTheme="minorEastAsia" w:hAnsiTheme="minorEastAsia"/>
          <w:kern w:val="0"/>
          <w:szCs w:val="21"/>
        </w:rPr>
        <w:t>.在线投稿：直接登陆</w:t>
      </w:r>
      <w:r>
        <w:fldChar w:fldCharType="begin"/>
      </w:r>
      <w:r>
        <w:instrText xml:space="preserve"> HYPERLINK "http://www.zgywjj.com" </w:instrText>
      </w:r>
      <w:r>
        <w:fldChar w:fldCharType="separate"/>
      </w:r>
      <w:r>
        <w:rPr>
          <w:rFonts w:cs="Arial" w:asciiTheme="minorEastAsia" w:hAnsiTheme="minorEastAsia"/>
          <w:kern w:val="0"/>
          <w:szCs w:val="21"/>
          <w:u w:val="single"/>
        </w:rPr>
        <w:t>www.zgywjj.com</w:t>
      </w:r>
      <w:r>
        <w:rPr>
          <w:rFonts w:cs="Arial" w:asciiTheme="minorEastAsia" w:hAnsiTheme="minorEastAsia"/>
          <w:kern w:val="0"/>
          <w:szCs w:val="21"/>
          <w:u w:val="single"/>
        </w:rPr>
        <w:fldChar w:fldCharType="end"/>
      </w:r>
      <w:r>
        <w:rPr>
          <w:rFonts w:hint="eastAsia" w:cs="Arial" w:asciiTheme="minorEastAsia" w:hAnsiTheme="minorEastAsia"/>
          <w:kern w:val="0"/>
          <w:szCs w:val="21"/>
        </w:rPr>
        <w:t xml:space="preserve"> </w:t>
      </w:r>
      <w:r>
        <w:rPr>
          <w:rFonts w:cs="Arial" w:asciiTheme="minorEastAsia" w:hAnsiTheme="minorEastAsia"/>
          <w:kern w:val="0"/>
          <w:szCs w:val="21"/>
        </w:rPr>
        <w:t>进入该系统进行投稿及稿件的查询。</w:t>
      </w:r>
      <w:r>
        <w:rPr>
          <w:rFonts w:hint="eastAsia" w:cs="Arial" w:asciiTheme="minorEastAsia" w:hAnsiTheme="minorEastAsia"/>
          <w:kern w:val="0"/>
          <w:szCs w:val="21"/>
        </w:rPr>
        <w:t>也可</w:t>
      </w:r>
      <w:r>
        <w:rPr>
          <w:rFonts w:hint="eastAsia" w:cs="Arial" w:asciiTheme="minorEastAsia" w:hAnsiTheme="minorEastAsia"/>
          <w:kern w:val="0"/>
          <w:szCs w:val="21"/>
          <w:lang w:eastAsia="zh-CN"/>
        </w:rPr>
        <w:t>关注“中国药物警戒</w:t>
      </w:r>
      <w:bookmarkStart w:id="0" w:name="_GoBack"/>
      <w:bookmarkEnd w:id="0"/>
      <w:r>
        <w:rPr>
          <w:rFonts w:hint="eastAsia" w:cs="Arial" w:asciiTheme="minorEastAsia" w:hAnsiTheme="minorEastAsia"/>
          <w:kern w:val="0"/>
          <w:szCs w:val="21"/>
          <w:lang w:eastAsia="zh-CN"/>
        </w:rPr>
        <w:t>”</w:t>
      </w:r>
      <w:r>
        <w:rPr>
          <w:rFonts w:hint="eastAsia" w:cs="Arial" w:asciiTheme="minorEastAsia" w:hAnsiTheme="minorEastAsia"/>
          <w:kern w:val="0"/>
          <w:szCs w:val="21"/>
        </w:rPr>
        <w:t>微信公众号查询稿件进度。</w:t>
      </w:r>
      <w:r>
        <w:rPr>
          <w:rFonts w:cs="Arial" w:asciiTheme="minorEastAsia" w:hAnsiTheme="minorEastAsia"/>
          <w:kern w:val="0"/>
          <w:szCs w:val="21"/>
        </w:rPr>
        <w:br w:type="textWrapping"/>
      </w:r>
      <w:r>
        <w:rPr>
          <w:rFonts w:hint="eastAsia" w:cs="Arial" w:asciiTheme="minorEastAsia" w:hAnsiTheme="minorEastAsia"/>
          <w:kern w:val="0"/>
          <w:szCs w:val="21"/>
        </w:rPr>
        <w:t xml:space="preserve">    3</w:t>
      </w:r>
      <w:r>
        <w:rPr>
          <w:rFonts w:cs="Arial" w:asciiTheme="minorEastAsia" w:hAnsiTheme="minorEastAsia"/>
          <w:kern w:val="0"/>
          <w:szCs w:val="21"/>
        </w:rPr>
        <w:t>.稿件要求字迹清楚，标点正确，格式规范，储存为W</w:t>
      </w:r>
      <w:r>
        <w:rPr>
          <w:rFonts w:hint="eastAsia" w:cs="Arial" w:asciiTheme="minorEastAsia" w:hAnsiTheme="minorEastAsia"/>
          <w:kern w:val="0"/>
          <w:szCs w:val="21"/>
        </w:rPr>
        <w:t>ord</w:t>
      </w:r>
      <w:r>
        <w:rPr>
          <w:rFonts w:cs="Arial" w:asciiTheme="minorEastAsia" w:hAnsiTheme="minorEastAsia"/>
          <w:kern w:val="0"/>
          <w:szCs w:val="21"/>
        </w:rPr>
        <w:t>格式。英文摘要及文献应隔行打印。特殊文种、上下角标符号、需排斜体等应予注明。 </w:t>
      </w:r>
      <w:r>
        <w:rPr>
          <w:rFonts w:cs="Arial" w:asciiTheme="minorEastAsia" w:hAnsiTheme="minorEastAsia"/>
          <w:kern w:val="0"/>
          <w:szCs w:val="21"/>
        </w:rPr>
        <w:br w:type="textWrapping"/>
      </w:r>
      <w:r>
        <w:rPr>
          <w:rFonts w:hint="eastAsia" w:cs="Arial" w:asciiTheme="minorEastAsia" w:hAnsiTheme="minorEastAsia"/>
          <w:kern w:val="0"/>
          <w:szCs w:val="21"/>
        </w:rPr>
        <w:t xml:space="preserve">    4</w:t>
      </w:r>
      <w:r>
        <w:rPr>
          <w:rFonts w:cs="Arial" w:asciiTheme="minorEastAsia" w:hAnsiTheme="minorEastAsia"/>
          <w:kern w:val="0"/>
          <w:szCs w:val="21"/>
        </w:rPr>
        <w:t>.</w:t>
      </w:r>
      <w:r>
        <w:rPr>
          <w:rFonts w:hint="eastAsia" w:cs="Arial" w:asciiTheme="minorEastAsia" w:hAnsiTheme="minorEastAsia"/>
          <w:kern w:val="0"/>
          <w:szCs w:val="21"/>
        </w:rPr>
        <w:t>返回作者退修</w:t>
      </w:r>
      <w:r>
        <w:rPr>
          <w:rFonts w:cs="Arial" w:asciiTheme="minorEastAsia" w:hAnsiTheme="minorEastAsia"/>
          <w:kern w:val="0"/>
          <w:szCs w:val="21"/>
        </w:rPr>
        <w:t>稿件</w:t>
      </w:r>
      <w:r>
        <w:rPr>
          <w:rFonts w:hint="eastAsia" w:cs="Arial" w:asciiTheme="minorEastAsia" w:hAnsiTheme="minorEastAsia"/>
          <w:kern w:val="0"/>
          <w:szCs w:val="21"/>
        </w:rPr>
        <w:t>请按照</w:t>
      </w:r>
      <w:r>
        <w:rPr>
          <w:rFonts w:cs="Arial" w:asciiTheme="minorEastAsia" w:hAnsiTheme="minorEastAsia"/>
          <w:kern w:val="0"/>
          <w:szCs w:val="21"/>
        </w:rPr>
        <w:t>退修意见</w:t>
      </w:r>
      <w:r>
        <w:rPr>
          <w:rFonts w:hint="eastAsia" w:cs="Arial" w:asciiTheme="minorEastAsia" w:hAnsiTheme="minorEastAsia"/>
          <w:kern w:val="0"/>
          <w:szCs w:val="21"/>
        </w:rPr>
        <w:t>逐一进行修改</w:t>
      </w:r>
      <w:r>
        <w:rPr>
          <w:rFonts w:cs="Arial" w:asciiTheme="minorEastAsia" w:hAnsiTheme="minorEastAsia"/>
          <w:kern w:val="0"/>
          <w:szCs w:val="21"/>
        </w:rPr>
        <w:t>，</w:t>
      </w:r>
      <w:r>
        <w:rPr>
          <w:rFonts w:hint="eastAsia" w:cs="Arial" w:asciiTheme="minorEastAsia" w:hAnsiTheme="minorEastAsia"/>
          <w:kern w:val="0"/>
          <w:szCs w:val="21"/>
        </w:rPr>
        <w:t>将修改内容用红色标出，以W</w:t>
      </w:r>
      <w:r>
        <w:rPr>
          <w:rFonts w:cs="Arial" w:asciiTheme="minorEastAsia" w:hAnsiTheme="minorEastAsia"/>
          <w:kern w:val="0"/>
          <w:szCs w:val="21"/>
        </w:rPr>
        <w:t>ord格式</w:t>
      </w:r>
      <w:r>
        <w:rPr>
          <w:rFonts w:hint="eastAsia" w:cs="Arial" w:asciiTheme="minorEastAsia" w:hAnsiTheme="minorEastAsia"/>
          <w:kern w:val="0"/>
          <w:szCs w:val="21"/>
        </w:rPr>
        <w:t>返回，并附上修改说明。</w:t>
      </w:r>
      <w:r>
        <w:rPr>
          <w:rFonts w:cs="Arial" w:asciiTheme="minorEastAsia" w:hAnsiTheme="minorEastAsia"/>
          <w:kern w:val="0"/>
          <w:szCs w:val="21"/>
        </w:rPr>
        <w:t>务必请1</w:t>
      </w:r>
      <w:r>
        <w:rPr>
          <w:rFonts w:hint="eastAsia" w:cs="Arial" w:asciiTheme="minorEastAsia" w:hAnsiTheme="minorEastAsia"/>
          <w:kern w:val="0"/>
          <w:szCs w:val="21"/>
        </w:rPr>
        <w:t>5</w:t>
      </w:r>
      <w:r>
        <w:rPr>
          <w:rFonts w:cs="Arial" w:asciiTheme="minorEastAsia" w:hAnsiTheme="minorEastAsia"/>
          <w:kern w:val="0"/>
          <w:szCs w:val="21"/>
        </w:rPr>
        <w:t>日内发回。修改稿逾期1个月不</w:t>
      </w:r>
      <w:r>
        <w:rPr>
          <w:rFonts w:hint="eastAsia" w:cs="Arial" w:asciiTheme="minorEastAsia" w:hAnsiTheme="minorEastAsia"/>
          <w:kern w:val="0"/>
          <w:szCs w:val="21"/>
        </w:rPr>
        <w:t>修</w:t>
      </w:r>
      <w:r>
        <w:rPr>
          <w:rFonts w:cs="Arial" w:asciiTheme="minorEastAsia" w:hAnsiTheme="minorEastAsia"/>
          <w:kern w:val="0"/>
          <w:szCs w:val="21"/>
        </w:rPr>
        <w:t>回者，视作自动撤稿。 </w:t>
      </w:r>
      <w:r>
        <w:rPr>
          <w:rFonts w:cs="Arial" w:asciiTheme="minorEastAsia" w:hAnsiTheme="minorEastAsia"/>
          <w:kern w:val="0"/>
          <w:szCs w:val="21"/>
        </w:rPr>
        <w:br w:type="textWrapping"/>
      </w:r>
      <w:r>
        <w:rPr>
          <w:rFonts w:cs="Arial" w:asciiTheme="minorEastAsia" w:hAnsiTheme="minorEastAsia"/>
          <w:kern w:val="0"/>
          <w:szCs w:val="21"/>
        </w:rPr>
        <w:t>　　</w:t>
      </w:r>
      <w:r>
        <w:rPr>
          <w:rFonts w:hint="eastAsia" w:cs="Arial" w:asciiTheme="minorEastAsia" w:hAnsiTheme="minorEastAsia"/>
          <w:kern w:val="0"/>
          <w:szCs w:val="21"/>
        </w:rPr>
        <w:t>5</w:t>
      </w:r>
      <w:r>
        <w:rPr>
          <w:rFonts w:cs="Arial" w:asciiTheme="minorEastAsia" w:hAnsiTheme="minorEastAsia"/>
          <w:kern w:val="0"/>
          <w:szCs w:val="21"/>
        </w:rPr>
        <w:t>.来稿一律文责自负。依照《著作权法》有关规定，本刊可对来稿做文字修改、删节，凡有涉及原意的修改，则提请作者考虑。　　</w:t>
      </w:r>
    </w:p>
    <w:p>
      <w:pPr>
        <w:widowControl/>
        <w:spacing w:line="360" w:lineRule="auto"/>
        <w:ind w:firstLine="405"/>
        <w:jc w:val="left"/>
        <w:rPr>
          <w:rFonts w:cs="Arial" w:asciiTheme="minorEastAsia" w:hAnsiTheme="minorEastAsia"/>
          <w:kern w:val="0"/>
          <w:szCs w:val="21"/>
        </w:rPr>
      </w:pPr>
      <w:r>
        <w:rPr>
          <w:rFonts w:hint="eastAsia" w:cs="Arial" w:asciiTheme="minorEastAsia" w:hAnsiTheme="minorEastAsia"/>
          <w:kern w:val="0"/>
          <w:szCs w:val="21"/>
        </w:rPr>
        <w:t>6</w:t>
      </w:r>
      <w:r>
        <w:rPr>
          <w:rFonts w:cs="Arial" w:asciiTheme="minorEastAsia" w:hAnsiTheme="minorEastAsia"/>
          <w:kern w:val="0"/>
          <w:szCs w:val="21"/>
        </w:rPr>
        <w:t>.请勿一稿两投,来稿一旦审定录用，即发给录用通知。一经刊用，则自动承认论文专有使用权为本刊，对本刊以电子期刊、光盘版等其他方式发表该文无异议</w:t>
      </w:r>
      <w:r>
        <w:rPr>
          <w:rFonts w:hint="eastAsia" w:cs="Arial" w:asciiTheme="minorEastAsia" w:hAnsiTheme="minorEastAsia"/>
          <w:kern w:val="0"/>
          <w:szCs w:val="21"/>
        </w:rPr>
        <w:t>，</w:t>
      </w:r>
      <w:r>
        <w:rPr>
          <w:rFonts w:cs="Arial" w:asciiTheme="minorEastAsia" w:hAnsiTheme="minorEastAsia"/>
          <w:kern w:val="0"/>
          <w:szCs w:val="21"/>
        </w:rPr>
        <w:t>未经本刊同意，该文的任何部分不得转载他处。　</w:t>
      </w:r>
    </w:p>
    <w:p>
      <w:pPr>
        <w:widowControl/>
        <w:spacing w:line="360" w:lineRule="auto"/>
        <w:ind w:firstLine="420" w:firstLineChars="200"/>
        <w:jc w:val="left"/>
        <w:rPr>
          <w:rFonts w:hint="eastAsia" w:cs="Arial" w:asciiTheme="minorEastAsia" w:hAnsiTheme="minorEastAsia"/>
          <w:kern w:val="0"/>
          <w:szCs w:val="21"/>
        </w:rPr>
      </w:pPr>
      <w:r>
        <w:rPr>
          <w:rFonts w:hint="eastAsia" w:cs="Arial" w:asciiTheme="minorEastAsia" w:hAnsiTheme="minorEastAsia"/>
          <w:kern w:val="0"/>
          <w:szCs w:val="21"/>
        </w:rPr>
        <w:t>7</w:t>
      </w:r>
      <w:r>
        <w:rPr>
          <w:rFonts w:cs="Arial" w:asciiTheme="minorEastAsia" w:hAnsiTheme="minorEastAsia"/>
          <w:kern w:val="0"/>
          <w:szCs w:val="21"/>
        </w:rPr>
        <w:t>.第一作者赠送</w:t>
      </w:r>
      <w:r>
        <w:rPr>
          <w:rFonts w:hint="eastAsia" w:cs="Arial" w:asciiTheme="minorEastAsia" w:hAnsiTheme="minorEastAsia"/>
          <w:kern w:val="0"/>
          <w:szCs w:val="21"/>
        </w:rPr>
        <w:t>2本当</w:t>
      </w:r>
      <w:r>
        <w:rPr>
          <w:rFonts w:cs="Arial" w:asciiTheme="minorEastAsia" w:hAnsiTheme="minorEastAsia"/>
          <w:kern w:val="0"/>
          <w:szCs w:val="21"/>
        </w:rPr>
        <w:t>期</w:t>
      </w:r>
      <w:r>
        <w:rPr>
          <w:rFonts w:hint="eastAsia" w:cs="Arial" w:asciiTheme="minorEastAsia" w:hAnsiTheme="minorEastAsia"/>
          <w:kern w:val="0"/>
          <w:szCs w:val="21"/>
        </w:rPr>
        <w:t>纸质</w:t>
      </w:r>
      <w:r>
        <w:rPr>
          <w:rFonts w:cs="Arial" w:asciiTheme="minorEastAsia" w:hAnsiTheme="minorEastAsia"/>
          <w:kern w:val="0"/>
          <w:szCs w:val="21"/>
        </w:rPr>
        <w:t>期刊。来稿刊登后将酌付稿酬。</w:t>
      </w:r>
      <w:r>
        <w:rPr>
          <w:rFonts w:hint="eastAsia" w:cs="Arial" w:asciiTheme="minorEastAsia" w:hAnsiTheme="minorEastAsia"/>
          <w:kern w:val="0"/>
          <w:szCs w:val="21"/>
        </w:rPr>
        <w:t>本刊已加入中国知网（CNKI）光盘版、网络版和相关数据库。作者著作权使用费与本刊稿酬一次性付给。</w:t>
      </w:r>
    </w:p>
    <w:p>
      <w:pPr>
        <w:widowControl/>
        <w:spacing w:line="360" w:lineRule="auto"/>
        <w:ind w:firstLine="422" w:firstLineChars="200"/>
        <w:jc w:val="left"/>
        <w:rPr>
          <w:rFonts w:cs="Arial" w:asciiTheme="minorEastAsia" w:hAnsiTheme="minorEastAsia"/>
          <w:b/>
          <w:bCs/>
          <w:kern w:val="0"/>
          <w:szCs w:val="21"/>
        </w:rPr>
      </w:pPr>
      <w:r>
        <w:rPr>
          <w:rFonts w:hint="eastAsia" w:cs="Arial" w:asciiTheme="minorEastAsia" w:hAnsiTheme="minorEastAsia"/>
          <w:b/>
          <w:bCs/>
          <w:kern w:val="0"/>
          <w:szCs w:val="21"/>
        </w:rPr>
        <w:t>三、编辑出版</w:t>
      </w:r>
      <w:r>
        <w:rPr>
          <w:rFonts w:cs="Arial" w:asciiTheme="minorEastAsia" w:hAnsiTheme="minorEastAsia"/>
          <w:b/>
          <w:bCs/>
          <w:kern w:val="0"/>
          <w:szCs w:val="21"/>
        </w:rPr>
        <w:t>流程</w:t>
      </w:r>
    </w:p>
    <w:p>
      <w:pPr>
        <w:widowControl/>
        <w:spacing w:line="360" w:lineRule="auto"/>
        <w:ind w:firstLine="420" w:firstLineChars="200"/>
        <w:jc w:val="left"/>
        <w:rPr>
          <w:rFonts w:cs="Arial" w:asciiTheme="minorEastAsia" w:hAnsiTheme="minorEastAsia"/>
          <w:kern w:val="0"/>
          <w:szCs w:val="21"/>
        </w:rPr>
      </w:pPr>
      <w:r>
        <mc:AlternateContent>
          <mc:Choice Requires="wpg">
            <w:drawing>
              <wp:anchor distT="0" distB="0" distL="114300" distR="114300" simplePos="0" relativeHeight="251659264" behindDoc="0" locked="0" layoutInCell="1" allowOverlap="1">
                <wp:simplePos x="0" y="0"/>
                <wp:positionH relativeFrom="column">
                  <wp:posOffset>337185</wp:posOffset>
                </wp:positionH>
                <wp:positionV relativeFrom="paragraph">
                  <wp:posOffset>95250</wp:posOffset>
                </wp:positionV>
                <wp:extent cx="4645660" cy="989330"/>
                <wp:effectExtent l="38735" t="18415" r="40005" b="59055"/>
                <wp:wrapNone/>
                <wp:docPr id="27" name="组合 27"/>
                <wp:cNvGraphicFramePr/>
                <a:graphic xmlns:a="http://schemas.openxmlformats.org/drawingml/2006/main">
                  <a:graphicData uri="http://schemas.microsoft.com/office/word/2010/wordprocessingGroup">
                    <wpg:wgp>
                      <wpg:cNvGrpSpPr/>
                      <wpg:grpSpPr>
                        <a:xfrm>
                          <a:off x="0" y="0"/>
                          <a:ext cx="4645660" cy="989330"/>
                          <a:chOff x="4229" y="97238"/>
                          <a:chExt cx="7316" cy="1558"/>
                        </a:xfrm>
                      </wpg:grpSpPr>
                      <wps:wsp>
                        <wps:cNvPr id="18" name="右箭头 18"/>
                        <wps:cNvSpPr/>
                        <wps:spPr>
                          <a:xfrm rot="5400000">
                            <a:off x="10957" y="97902"/>
                            <a:ext cx="252" cy="193"/>
                          </a:xfrm>
                          <a:prstGeom prst="rightArrow">
                            <a:avLst/>
                          </a:prstGeom>
                        </wps:spPr>
                        <wps:style>
                          <a:lnRef idx="0">
                            <a:schemeClr val="accent1"/>
                          </a:lnRef>
                          <a:fillRef idx="3">
                            <a:schemeClr val="accent1"/>
                          </a:fillRef>
                          <a:effectRef idx="3">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cNvPr id="26" name="组合 26"/>
                        <wpg:cNvGrpSpPr/>
                        <wpg:grpSpPr>
                          <a:xfrm>
                            <a:off x="4229" y="97238"/>
                            <a:ext cx="7316" cy="1558"/>
                            <a:chOff x="3664" y="97111"/>
                            <a:chExt cx="7316" cy="1558"/>
                          </a:xfrm>
                        </wpg:grpSpPr>
                        <wps:wsp>
                          <wps:cNvPr id="4" name="圆角矩形 4"/>
                          <wps:cNvSpPr/>
                          <wps:spPr>
                            <a:xfrm>
                              <a:off x="3664" y="97148"/>
                              <a:ext cx="923"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hint="eastAsia" w:asciiTheme="minorEastAsia" w:hAnsiTheme="minorEastAsia" w:cstheme="minorEastAsia"/>
                                  </w:rPr>
                                  <w:t>投稿</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5" name="圆角矩形 5"/>
                          <wps:cNvSpPr/>
                          <wps:spPr>
                            <a:xfrm>
                              <a:off x="4939" y="97137"/>
                              <a:ext cx="923"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cs="Arial" w:asciiTheme="minorEastAsia" w:hAnsiTheme="minorEastAsia"/>
                                    <w:kern w:val="0"/>
                                    <w:szCs w:val="21"/>
                                  </w:rPr>
                                  <w:t>收稿</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6" name="右箭头 6"/>
                          <wps:cNvSpPr/>
                          <wps:spPr>
                            <a:xfrm>
                              <a:off x="4652" y="97307"/>
                              <a:ext cx="252" cy="193"/>
                            </a:xfrm>
                            <a:prstGeom prst="rightArrow">
                              <a:avLst/>
                            </a:prstGeom>
                          </wps:spPr>
                          <wps:style>
                            <a:lnRef idx="0">
                              <a:schemeClr val="accent1"/>
                            </a:lnRef>
                            <a:fillRef idx="3">
                              <a:schemeClr val="accent1"/>
                            </a:fillRef>
                            <a:effectRef idx="3">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 name="右箭头 8"/>
                          <wps:cNvSpPr/>
                          <wps:spPr>
                            <a:xfrm>
                              <a:off x="5911" y="97323"/>
                              <a:ext cx="252" cy="193"/>
                            </a:xfrm>
                            <a:prstGeom prst="rightArrow">
                              <a:avLst/>
                            </a:prstGeom>
                          </wps:spPr>
                          <wps:style>
                            <a:lnRef idx="0">
                              <a:schemeClr val="accent1"/>
                            </a:lnRef>
                            <a:fillRef idx="3">
                              <a:schemeClr val="accent1"/>
                            </a:fillRef>
                            <a:effectRef idx="3">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0" name="圆角矩形 10"/>
                          <wps:cNvSpPr/>
                          <wps:spPr>
                            <a:xfrm>
                              <a:off x="6218" y="97133"/>
                              <a:ext cx="923"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hint="eastAsia"/>
                                  </w:rPr>
                                  <w:t>初审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 name="右箭头 9"/>
                          <wps:cNvSpPr/>
                          <wps:spPr>
                            <a:xfrm>
                              <a:off x="7190" y="97319"/>
                              <a:ext cx="252" cy="193"/>
                            </a:xfrm>
                            <a:prstGeom prst="rightArrow">
                              <a:avLst/>
                            </a:prstGeom>
                          </wps:spPr>
                          <wps:style>
                            <a:lnRef idx="0">
                              <a:schemeClr val="accent1"/>
                            </a:lnRef>
                            <a:fillRef idx="3">
                              <a:schemeClr val="accent1"/>
                            </a:fillRef>
                            <a:effectRef idx="3">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6" name="圆角矩形 16"/>
                          <wps:cNvSpPr/>
                          <wps:spPr>
                            <a:xfrm>
                              <a:off x="7488" y="97126"/>
                              <a:ext cx="923"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hint="eastAsia"/>
                                  </w:rPr>
                                  <w:t>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5" name="圆角矩形 15"/>
                          <wps:cNvSpPr/>
                          <wps:spPr>
                            <a:xfrm>
                              <a:off x="8763" y="97115"/>
                              <a:ext cx="923"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hint="eastAsia"/>
                                  </w:rPr>
                                  <w:t>外审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 name="右箭头 11"/>
                          <wps:cNvSpPr/>
                          <wps:spPr>
                            <a:xfrm>
                              <a:off x="8476" y="97285"/>
                              <a:ext cx="252" cy="193"/>
                            </a:xfrm>
                            <a:prstGeom prst="rightArrow">
                              <a:avLst/>
                            </a:prstGeom>
                          </wps:spPr>
                          <wps:style>
                            <a:lnRef idx="0">
                              <a:schemeClr val="accent1"/>
                            </a:lnRef>
                            <a:fillRef idx="3">
                              <a:schemeClr val="accent1"/>
                            </a:fillRef>
                            <a:effectRef idx="3">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右箭头 14"/>
                          <wps:cNvSpPr/>
                          <wps:spPr>
                            <a:xfrm>
                              <a:off x="9735" y="97301"/>
                              <a:ext cx="252" cy="193"/>
                            </a:xfrm>
                            <a:prstGeom prst="rightArrow">
                              <a:avLst/>
                            </a:prstGeom>
                          </wps:spPr>
                          <wps:style>
                            <a:lnRef idx="0">
                              <a:schemeClr val="accent1"/>
                            </a:lnRef>
                            <a:fillRef idx="3">
                              <a:schemeClr val="accent1"/>
                            </a:fillRef>
                            <a:effectRef idx="3">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3" name="圆角矩形 13"/>
                          <wps:cNvSpPr/>
                          <wps:spPr>
                            <a:xfrm>
                              <a:off x="10042" y="97111"/>
                              <a:ext cx="923"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hint="eastAsia"/>
                                  </w:rPr>
                                  <w:t>终审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 name="圆角矩形 17"/>
                          <wps:cNvSpPr/>
                          <wps:spPr>
                            <a:xfrm>
                              <a:off x="10058" y="98104"/>
                              <a:ext cx="923"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hint="eastAsia"/>
                                  </w:rPr>
                                  <w:t>发稿</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圆角矩形 19"/>
                          <wps:cNvSpPr/>
                          <wps:spPr>
                            <a:xfrm>
                              <a:off x="8679" y="98089"/>
                              <a:ext cx="923"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hint="eastAsia"/>
                                  </w:rPr>
                                  <w:t>排版</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 name="右箭头 20"/>
                          <wps:cNvSpPr/>
                          <wps:spPr>
                            <a:xfrm rot="10800000">
                              <a:off x="8357" y="98266"/>
                              <a:ext cx="252" cy="193"/>
                            </a:xfrm>
                            <a:prstGeom prst="rightArrow">
                              <a:avLst/>
                            </a:prstGeom>
                          </wps:spPr>
                          <wps:style>
                            <a:lnRef idx="0">
                              <a:schemeClr val="accent1"/>
                            </a:lnRef>
                            <a:fillRef idx="3">
                              <a:schemeClr val="accent1"/>
                            </a:fillRef>
                            <a:effectRef idx="3">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圆角矩形 21"/>
                          <wps:cNvSpPr/>
                          <wps:spPr>
                            <a:xfrm>
                              <a:off x="5685" y="98115"/>
                              <a:ext cx="923"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hint="eastAsia"/>
                                  </w:rPr>
                                  <w:t>印刷</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圆角矩形 22"/>
                          <wps:cNvSpPr/>
                          <wps:spPr>
                            <a:xfrm>
                              <a:off x="7018" y="98099"/>
                              <a:ext cx="1280" cy="554"/>
                            </a:xfrm>
                            <a:prstGeom prst="roundRect">
                              <a:avLst/>
                            </a:prstGeom>
                          </wps:spPr>
                          <wps:style>
                            <a:lnRef idx="1">
                              <a:schemeClr val="accent1"/>
                            </a:lnRef>
                            <a:fillRef idx="2">
                              <a:schemeClr val="accent1"/>
                            </a:fillRef>
                            <a:effectRef idx="1">
                              <a:schemeClr val="accent1"/>
                            </a:effectRef>
                            <a:fontRef idx="minor">
                              <a:schemeClr val="dk1"/>
                            </a:fontRef>
                          </wps:style>
                          <wps:txbx>
                            <w:txbxContent>
                              <w:p>
                                <w:pPr>
                                  <w:jc w:val="center"/>
                                </w:pPr>
                                <w:r>
                                  <w:rPr>
                                    <w:rFonts w:cs="Arial" w:asciiTheme="minorEastAsia" w:hAnsiTheme="minorEastAsia"/>
                                    <w:kern w:val="0"/>
                                    <w:szCs w:val="21"/>
                                  </w:rPr>
                                  <w:t>作者核校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右箭头 24"/>
                          <wps:cNvSpPr/>
                          <wps:spPr>
                            <a:xfrm rot="10800000">
                              <a:off x="6679" y="98284"/>
                              <a:ext cx="252" cy="193"/>
                            </a:xfrm>
                            <a:prstGeom prst="rightArrow">
                              <a:avLst/>
                            </a:prstGeom>
                          </wps:spPr>
                          <wps:style>
                            <a:lnRef idx="0">
                              <a:schemeClr val="accent1"/>
                            </a:lnRef>
                            <a:fillRef idx="3">
                              <a:schemeClr val="accent1"/>
                            </a:fillRef>
                            <a:effectRef idx="3">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右箭头 25"/>
                          <wps:cNvSpPr/>
                          <wps:spPr>
                            <a:xfrm rot="10800000">
                              <a:off x="9684" y="98273"/>
                              <a:ext cx="252" cy="193"/>
                            </a:xfrm>
                            <a:prstGeom prst="rightArrow">
                              <a:avLst/>
                            </a:prstGeom>
                          </wps:spPr>
                          <wps:style>
                            <a:lnRef idx="0">
                              <a:schemeClr val="accent1"/>
                            </a:lnRef>
                            <a:fillRef idx="3">
                              <a:schemeClr val="accent1"/>
                            </a:fillRef>
                            <a:effectRef idx="3">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grpSp>
                    </wpg:wgp>
                  </a:graphicData>
                </a:graphic>
              </wp:anchor>
            </w:drawing>
          </mc:Choice>
          <mc:Fallback>
            <w:pict>
              <v:group id="_x0000_s1026" o:spid="_x0000_s1026" o:spt="203" style="position:absolute;left:0pt;margin-left:26.55pt;margin-top:7.5pt;height:77.9pt;width:365.8pt;z-index:251659264;mso-width-relative:page;mso-height-relative:page;" coordorigin="4229,97238" coordsize="7316,1558" o:gfxdata="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">
                <o:lock v:ext="edit" aspectratio="f"/>
                <v:shape id="_x0000_s1026" o:spid="_x0000_s1026" o:spt="13" type="#_x0000_t13" style="position:absolute;left:10957;top:97902;height:193;width:252;rotation:5898240f;v-text-anchor:middle;" fillcolor="#2C5D98 [3216]" filled="t" stroked="f" coordsize="21600,21600" o:gfxdata="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4yp7EugAAANsA&#10;AAAPAAAAAAAAAAEAIAAAACIAAABkcnMvZG93bnJldi54bWxQSwECFAAUAAAACACHTuJAMy8FnjsA&#10;AAA5AAAAEAAAAAAAAAABACAAAAAJAQAAZHJzL3NoYXBleG1sLnhtbFBLBQYAAAAABgAGAFsBAACz&#10;AwAAAAA=&#10;" adj="13329,5400">
                  <v:fill type="gradient" on="t" color2="#3A7CCB [3216]" colors="0f #2C5D98;52429f #3C7BC7;65536f #3A7CCB" angle="180" focus="100%" focussize="0,0" rotate="t">
                    <o:fill type="gradientUnscaled" v:ext="backwardCompatible"/>
                  </v:fill>
                  <v:stroke on="f"/>
                  <v:imagedata o:title=""/>
                  <o:lock v:ext="edit" aspectratio="f"/>
                  <v:shadow on="t" color="#000000" opacity="22937f" offset="0pt,1.81102362204724pt" origin="0f,32768f" matrix="65536f,0f,0f,65536f"/>
                </v:shape>
                <v:group id="_x0000_s1026" o:spid="_x0000_s1026" o:spt="203" style="position:absolute;left:4229;top:97238;height:1558;width:7316;" coordorigin="3664,97111" coordsize="7316,1558" o:gfxdata="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NzHZke+AAAA2wAAAA8AAAAAAAAAAQAgAAAAIgAAAGRycy9kb3ducmV2Lnht&#10;bFBLAQIUABQAAAAIAIdO4kAzLwWeOwAAADkAAAAVAAAAAAAAAAEAIAAAAA0BAABkcnMvZ3JvdXBz&#10;aGFwZXhtbC54bWxQSwUGAAAAAAYABgBgAQAAygMAAAAA&#10;">
                  <o:lock v:ext="edit" aspectratio="f"/>
                  <v:roundrect id="_x0000_s1026" o:spid="_x0000_s1026" o:spt="2" style="position:absolute;left:3664;top:97148;height:554;width:923;v-text-anchor:middle;" fillcolor="#A3C4FF [3216]" filled="t" stroked="t" coordsize="21600,21600" arcsize="0.166666666666667" o:gfxdata="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BA6sC/&#10;AAAA2gAAAA8AAAAAAAAAAQAgAAAAIgAAAGRycy9kb3ducmV2LnhtbFBLAQIUABQAAAAIAIdO4kAz&#10;LwWeOwAAADkAAAAQAAAAAAAAAAEAIAAAAA4BAABkcnMvc2hhcGV4bWwueG1sUEsFBgAAAAAGAAYA&#10;WwEAALgDA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hint="eastAsia" w:asciiTheme="minorEastAsia" w:hAnsiTheme="minorEastAsia" w:cstheme="minorEastAsia"/>
                            </w:rPr>
                            <w:t>投稿</w:t>
                          </w:r>
                        </w:p>
                      </w:txbxContent>
                    </v:textbox>
                  </v:roundrect>
                  <v:roundrect id="_x0000_s1026" o:spid="_x0000_s1026" o:spt="2" style="position:absolute;left:4939;top:97137;height:554;width:923;v-text-anchor:middle;" fillcolor="#A3C4FF [3216]" filled="t" stroked="t" coordsize="21600,21600" arcsize="0.166666666666667" o:gfxdata="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8MT1u/&#10;AAAA2gAAAA8AAAAAAAAAAQAgAAAAIgAAAGRycy9kb3ducmV2LnhtbFBLAQIUABQAAAAIAIdO4kAz&#10;LwWeOwAAADkAAAAQAAAAAAAAAAEAIAAAAA4BAABkcnMvc2hhcGV4bWwueG1sUEsFBgAAAAAGAAYA&#10;WwEAALgDA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cs="Arial" w:asciiTheme="minorEastAsia" w:hAnsiTheme="minorEastAsia"/>
                              <w:kern w:val="0"/>
                              <w:szCs w:val="21"/>
                            </w:rPr>
                            <w:t>收稿</w:t>
                          </w:r>
                        </w:p>
                      </w:txbxContent>
                    </v:textbox>
                  </v:roundrect>
                  <v:shape id="_x0000_s1026" o:spid="_x0000_s1026" o:spt="13" type="#_x0000_t13" style="position:absolute;left:4652;top:97307;height:193;width:252;v-text-anchor:middle;" fillcolor="#2C5D98 [3216]" filled="t" stroked="f" coordsize="21600,21600" o:gfxdata="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vXgYL4A&#10;AADaAAAADwAAAAAAAAABACAAAAAiAAAAZHJzL2Rvd25yZXYueG1sUEsBAhQAFAAAAAgAh07iQDMv&#10;BZ47AAAAOQAAABAAAAAAAAAAAQAgAAAADQEAAGRycy9zaGFwZXhtbC54bWxQSwUGAAAAAAYABgBb&#10;AQAAtwMAAAAA&#10;" adj="13329,5400">
                    <v:fill type="gradient" on="t" color2="#3A7CCB [3216]" colors="0f #2C5D98;52429f #3C7BC7;65536f #3A7CCB" angle="180" focus="100%" focussize="0,0" rotate="t">
                      <o:fill type="gradientUnscaled" v:ext="backwardCompatible"/>
                    </v:fill>
                    <v:stroke on="f"/>
                    <v:imagedata o:title=""/>
                    <o:lock v:ext="edit" aspectratio="f"/>
                    <v:shadow on="t" color="#000000" opacity="22937f" offset="0pt,1.81102362204724pt" origin="0f,32768f" matrix="65536f,0f,0f,65536f"/>
                  </v:shape>
                  <v:shape id="_x0000_s1026" o:spid="_x0000_s1026" o:spt="13" type="#_x0000_t13" style="position:absolute;left:5911;top:97323;height:193;width:252;v-text-anchor:middle;" fillcolor="#2C5D98 [3216]" filled="t" stroked="f" coordsize="21600,21600" o:gfxdata="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gm0Ym5AAAA2gAA&#10;AA8AAAAAAAAAAQAgAAAAIgAAAGRycy9kb3ducmV2LnhtbFBLAQIUABQAAAAIAIdO4kAzLwWeOwAA&#10;ADkAAAAQAAAAAAAAAAEAIAAAAAgBAABkcnMvc2hhcGV4bWwueG1sUEsFBgAAAAAGAAYAWwEAALID&#10;AAAAAA==&#10;" adj="13329,5400">
                    <v:fill type="gradient" on="t" color2="#3A7CCB [3216]" colors="0f #2C5D98;52429f #3C7BC7;65536f #3A7CCB" angle="180" focus="100%" focussize="0,0" rotate="t">
                      <o:fill type="gradientUnscaled" v:ext="backwardCompatible"/>
                    </v:fill>
                    <v:stroke on="f"/>
                    <v:imagedata o:title=""/>
                    <o:lock v:ext="edit" aspectratio="f"/>
                    <v:shadow on="t" color="#000000" opacity="22937f" offset="0pt,1.81102362204724pt" origin="0f,32768f" matrix="65536f,0f,0f,65536f"/>
                  </v:shape>
                  <v:roundrect id="_x0000_s1026" o:spid="_x0000_s1026" o:spt="2" style="position:absolute;left:6218;top:97133;height:554;width:923;v-text-anchor:middle;" fillcolor="#A3C4FF [3216]" filled="t" stroked="t" coordsize="21600,21600" arcsize="0.166666666666667" o:gfxdata="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xytVS/&#10;AAAA2wAAAA8AAAAAAAAAAQAgAAAAIgAAAGRycy9kb3ducmV2LnhtbFBLAQIUABQAAAAIAIdO4kAz&#10;LwWeOwAAADkAAAAQAAAAAAAAAAEAIAAAAA4BAABkcnMvc2hhcGV4bWwueG1sUEsFBgAAAAAGAAYA&#10;WwEAALgDA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hint="eastAsia"/>
                            </w:rPr>
                            <w:t>初审</w:t>
                          </w:r>
                        </w:p>
                      </w:txbxContent>
                    </v:textbox>
                  </v:roundrect>
                  <v:shape id="_x0000_s1026" o:spid="_x0000_s1026" o:spt="13" type="#_x0000_t13" style="position:absolute;left:7190;top:97319;height:193;width:252;v-text-anchor:middle;" fillcolor="#2C5D98 [3216]" filled="t" stroked="f" coordsize="21600,21600" o:gfxdata="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anQSvQAA&#10;ANoAAAAPAAAAAAAAAAEAIAAAACIAAABkcnMvZG93bnJldi54bWxQSwECFAAUAAAACACHTuJAMy8F&#10;njsAAAA5AAAAEAAAAAAAAAABACAAAAAMAQAAZHJzL3NoYXBleG1sLnhtbFBLBQYAAAAABgAGAFsB&#10;AAC2AwAAAAA=&#10;" adj="13329,5400">
                    <v:fill type="gradient" on="t" color2="#3A7CCB [3216]" colors="0f #2C5D98;52429f #3C7BC7;65536f #3A7CCB" angle="180" focus="100%" focussize="0,0" rotate="t">
                      <o:fill type="gradientUnscaled" v:ext="backwardCompatible"/>
                    </v:fill>
                    <v:stroke on="f"/>
                    <v:imagedata o:title=""/>
                    <o:lock v:ext="edit" aspectratio="f"/>
                    <v:shadow on="t" color="#000000" opacity="22937f" offset="0pt,1.81102362204724pt" origin="0f,32768f" matrix="65536f,0f,0f,65536f"/>
                  </v:shape>
                  <v:roundrect id="_x0000_s1026" o:spid="_x0000_s1026" o:spt="2" style="position:absolute;left:7488;top:97126;height:554;width:923;v-text-anchor:middle;" fillcolor="#A3C4FF [3216]" filled="t" stroked="t" coordsize="21600,21600" arcsize="0.166666666666667" o:gfxdata="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14i7vQAA&#10;ANsAAAAPAAAAAAAAAAEAIAAAACIAAABkcnMvZG93bnJldi54bWxQSwECFAAUAAAACACHTuJAMy8F&#10;njsAAAA5AAAAEAAAAAAAAAABACAAAAAMAQAAZHJzL3NoYXBleG1sLnhtbFBLBQYAAAAABgAGAFsB&#10;AAC2Aw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hint="eastAsia"/>
                            </w:rPr>
                            <w:t>复审</w:t>
                          </w:r>
                        </w:p>
                      </w:txbxContent>
                    </v:textbox>
                  </v:roundrect>
                  <v:roundrect id="_x0000_s1026" o:spid="_x0000_s1026" o:spt="2" style="position:absolute;left:8763;top:97115;height:554;width:923;v-text-anchor:middle;" fillcolor="#A3C4FF [3216]" filled="t" stroked="t" coordsize="21600,21600" arcsize="0.166666666666667" o:gfxdata="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BRbMvQAA&#10;ANsAAAAPAAAAAAAAAAEAIAAAACIAAABkcnMvZG93bnJldi54bWxQSwECFAAUAAAACACHTuJAMy8F&#10;njsAAAA5AAAAEAAAAAAAAAABACAAAAAMAQAAZHJzL3NoYXBleG1sLnhtbFBLBQYAAAAABgAGAFsB&#10;AAC2Aw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hint="eastAsia"/>
                            </w:rPr>
                            <w:t>外审</w:t>
                          </w:r>
                        </w:p>
                      </w:txbxContent>
                    </v:textbox>
                  </v:roundrect>
                  <v:shape id="_x0000_s1026" o:spid="_x0000_s1026" o:spt="13" type="#_x0000_t13" style="position:absolute;left:8476;top:97285;height:193;width:252;v-text-anchor:middle;" fillcolor="#2C5D98 [3216]" filled="t" stroked="f" coordsize="21600,21600" o:gfxdata="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CHWZC8AAAA&#10;2wAAAA8AAAAAAAAAAQAgAAAAIgAAAGRycy9kb3ducmV2LnhtbFBLAQIUABQAAAAIAIdO4kAzLwWe&#10;OwAAADkAAAAQAAAAAAAAAAEAIAAAAAsBAABkcnMvc2hhcGV4bWwueG1sUEsFBgAAAAAGAAYAWwEA&#10;ALUDAAAAAA==&#10;" adj="13329,5400">
                    <v:fill type="gradient" on="t" color2="#3A7CCB [3216]" colors="0f #2C5D98;52429f #3C7BC7;65536f #3A7CCB" angle="180" focus="100%" focussize="0,0" rotate="t">
                      <o:fill type="gradientUnscaled" v:ext="backwardCompatible"/>
                    </v:fill>
                    <v:stroke on="f"/>
                    <v:imagedata o:title=""/>
                    <o:lock v:ext="edit" aspectratio="f"/>
                    <v:shadow on="t" color="#000000" opacity="22937f" offset="0pt,1.81102362204724pt" origin="0f,32768f" matrix="65536f,0f,0f,65536f"/>
                  </v:shape>
                  <v:shape id="_x0000_s1026" o:spid="_x0000_s1026" o:spt="13" type="#_x0000_t13" style="position:absolute;left:9735;top:97301;height:193;width:252;v-text-anchor:middle;" fillcolor="#2C5D98 [3216]" filled="t" stroked="f" coordsize="21600,21600" o:gfxdata="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Dw+gi8AAAA&#10;2wAAAA8AAAAAAAAAAQAgAAAAIgAAAGRycy9kb3ducmV2LnhtbFBLAQIUABQAAAAIAIdO4kAzLwWe&#10;OwAAADkAAAAQAAAAAAAAAAEAIAAAAAsBAABkcnMvc2hhcGV4bWwueG1sUEsFBgAAAAAGAAYAWwEA&#10;ALUDAAAAAA==&#10;" adj="13329,5400">
                    <v:fill type="gradient" on="t" color2="#3A7CCB [3216]" colors="0f #2C5D98;52429f #3C7BC7;65536f #3A7CCB" angle="180" focus="100%" focussize="0,0" rotate="t">
                      <o:fill type="gradientUnscaled" v:ext="backwardCompatible"/>
                    </v:fill>
                    <v:stroke on="f"/>
                    <v:imagedata o:title=""/>
                    <o:lock v:ext="edit" aspectratio="f"/>
                    <v:shadow on="t" color="#000000" opacity="22937f" offset="0pt,1.81102362204724pt" origin="0f,32768f" matrix="65536f,0f,0f,65536f"/>
                  </v:shape>
                  <v:roundrect id="_x0000_s1026" o:spid="_x0000_s1026" o:spt="2" style="position:absolute;left:10042;top:97111;height:554;width:923;v-text-anchor:middle;" fillcolor="#A3C4FF [3216]" filled="t" stroked="t" coordsize="21600,21600" arcsize="0.166666666666667" o:gfxdata="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oCsjvQAA&#10;ANsAAAAPAAAAAAAAAAEAIAAAACIAAABkcnMvZG93bnJldi54bWxQSwECFAAUAAAACACHTuJAMy8F&#10;njsAAAA5AAAAEAAAAAAAAAABACAAAAAMAQAAZHJzL3NoYXBleG1sLnhtbFBLBQYAAAAABgAGAFsB&#10;AAC2Aw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hint="eastAsia"/>
                            </w:rPr>
                            <w:t>终审</w:t>
                          </w:r>
                        </w:p>
                      </w:txbxContent>
                    </v:textbox>
                  </v:roundrect>
                  <v:roundrect id="_x0000_s1026" o:spid="_x0000_s1026" o:spt="2" style="position:absolute;left:10058;top:98104;height:554;width:923;v-text-anchor:middle;" fillcolor="#A3C4FF [3216]" filled="t" stroked="t" coordsize="21600,21600" arcsize="0.166666666666667" o:gfxdata="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5stIL4A&#10;AADbAAAADwAAAAAAAAABACAAAAAiAAAAZHJzL2Rvd25yZXYueG1sUEsBAhQAFAAAAAgAh07iQDMv&#10;BZ47AAAAOQAAABAAAAAAAAAAAQAgAAAADQEAAGRycy9zaGFwZXhtbC54bWxQSwUGAAAAAAYABgBb&#10;AQAAtwM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hint="eastAsia"/>
                            </w:rPr>
                            <w:t>发稿</w:t>
                          </w:r>
                        </w:p>
                      </w:txbxContent>
                    </v:textbox>
                  </v:roundrect>
                  <v:roundrect id="_x0000_s1026" o:spid="_x0000_s1026" o:spt="2" style="position:absolute;left:8679;top:98089;height:554;width:923;v-text-anchor:middle;" fillcolor="#A3C4FF [3216]" filled="t" stroked="t" coordsize="21600,21600" arcsize="0.166666666666667" o:gfxdata="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1IHMm8AAAA&#10;2wAAAA8AAAAAAAAAAQAgAAAAIgAAAGRycy9kb3ducmV2LnhtbFBLAQIUABQAAAAIAIdO4kAzLwWe&#10;OwAAADkAAAAQAAAAAAAAAAEAIAAAAAsBAABkcnMvc2hhcGV4bWwueG1sUEsFBgAAAAAGAAYAWwEA&#10;ALUDA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hint="eastAsia"/>
                            </w:rPr>
                            <w:t>排版</w:t>
                          </w:r>
                        </w:p>
                      </w:txbxContent>
                    </v:textbox>
                  </v:roundrect>
                  <v:shape id="_x0000_s1026" o:spid="_x0000_s1026" o:spt="13" type="#_x0000_t13" style="position:absolute;left:8357;top:98266;height:193;width:252;rotation:11796480f;v-text-anchor:middle;" fillcolor="#2C5D98 [3216]" filled="t" stroked="f" coordsize="21600,21600" o:gfxdata="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HdRXyugAAANsA&#10;AAAPAAAAAAAAAAEAIAAAACIAAABkcnMvZG93bnJldi54bWxQSwECFAAUAAAACACHTuJAMy8FnjsA&#10;AAA5AAAAEAAAAAAAAAABACAAAAAJAQAAZHJzL3NoYXBleG1sLnhtbFBLBQYAAAAABgAGAFsBAACz&#10;AwAAAAA=&#10;" adj="13329,5400">
                    <v:fill type="gradient" on="t" color2="#3A7CCB [3216]" colors="0f #2C5D98;52429f #3C7BC7;65536f #3A7CCB" angle="180" focus="100%" focussize="0,0" rotate="t">
                      <o:fill type="gradientUnscaled" v:ext="backwardCompatible"/>
                    </v:fill>
                    <v:stroke on="f"/>
                    <v:imagedata o:title=""/>
                    <o:lock v:ext="edit" aspectratio="f"/>
                    <v:shadow on="t" color="#000000" opacity="22937f" offset="0pt,1.81102362204724pt" origin="0f,32768f" matrix="65536f,0f,0f,65536f"/>
                  </v:shape>
                  <v:roundrect id="_x0000_s1026" o:spid="_x0000_s1026" o:spt="2" style="position:absolute;left:5685;top:98115;height:554;width:923;v-text-anchor:middle;" fillcolor="#A3C4FF [3216]" filled="t" stroked="t" coordsize="21600,21600" arcsize="0.166666666666667" o:gfxdata="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1S2nK/&#10;AAAA2wAAAA8AAAAAAAAAAQAgAAAAIgAAAGRycy9kb3ducmV2LnhtbFBLAQIUABQAAAAIAIdO4kAz&#10;LwWeOwAAADkAAAAQAAAAAAAAAAEAIAAAAA4BAABkcnMvc2hhcGV4bWwueG1sUEsFBgAAAAAGAAYA&#10;WwEAALgDA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hint="eastAsia"/>
                            </w:rPr>
                            <w:t>印刷</w:t>
                          </w:r>
                        </w:p>
                      </w:txbxContent>
                    </v:textbox>
                  </v:roundrect>
                  <v:roundrect id="_x0000_s1026" o:spid="_x0000_s1026" o:spt="2" style="position:absolute;left:7018;top:98099;height:554;width:1280;v-text-anchor:middle;" fillcolor="#A3C4FF [3216]" filled="t" stroked="t" coordsize="21600,21600" arcsize="0.166666666666667" o:gfxdata="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2ARAW/&#10;AAAA2wAAAA8AAAAAAAAAAQAgAAAAIgAAAGRycy9kb3ducmV2LnhtbFBLAQIUABQAAAAIAIdO4kAz&#10;LwWeOwAAADkAAAAQAAAAAAAAAAEAIAAAAA4BAABkcnMvc2hhcGV4bWwueG1sUEsFBgAAAAAGAAYA&#10;WwEAALgDAAAAAA==&#10;">
                    <v:fill type="gradient" on="t" color2="#E5EEFF [3216]" colors="0f #A3C4FF;22938f #BFD5FF;65536f #E5EEFF" angle="180" focus="100%" focussize="0,0" rotate="t"/>
                    <v:stroke color="#4A7EBB [3204]" joinstyle="round"/>
                    <v:imagedata o:title=""/>
                    <o:lock v:ext="edit" aspectratio="f"/>
                    <v:shadow on="t" color="#000000" opacity="24903f" offset="0pt,1.5748031496063pt" origin="0f,32768f" matrix="65536f,0f,0f,65536f"/>
                    <v:textbox>
                      <w:txbxContent>
                        <w:p>
                          <w:pPr>
                            <w:jc w:val="center"/>
                          </w:pPr>
                          <w:r>
                            <w:rPr>
                              <w:rFonts w:cs="Arial" w:asciiTheme="minorEastAsia" w:hAnsiTheme="minorEastAsia"/>
                              <w:kern w:val="0"/>
                              <w:szCs w:val="21"/>
                            </w:rPr>
                            <w:t>作者核校</w:t>
                          </w:r>
                        </w:p>
                      </w:txbxContent>
                    </v:textbox>
                  </v:roundrect>
                  <v:shape id="_x0000_s1026" o:spid="_x0000_s1026" o:spt="13" type="#_x0000_t13" style="position:absolute;left:6679;top:98284;height:193;width:252;rotation:11796480f;v-text-anchor:middle;" fillcolor="#2C5D98 [3216]" filled="t" stroked="f" coordsize="21600,21600" o:gfxdata="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hOE/G8AAAA&#10;2wAAAA8AAAAAAAAAAQAgAAAAIgAAAGRycy9kb3ducmV2LnhtbFBLAQIUABQAAAAIAIdO4kAzLwWe&#10;OwAAADkAAAAQAAAAAAAAAAEAIAAAAAsBAABkcnMvc2hhcGV4bWwueG1sUEsFBgAAAAAGAAYAWwEA&#10;ALUDAAAAAA==&#10;" adj="13329,5400">
                    <v:fill type="gradient" on="t" color2="#3A7CCB [3216]" colors="0f #2C5D98;52429f #3C7BC7;65536f #3A7CCB" angle="180" focus="100%" focussize="0,0" rotate="t">
                      <o:fill type="gradientUnscaled" v:ext="backwardCompatible"/>
                    </v:fill>
                    <v:stroke on="f"/>
                    <v:imagedata o:title=""/>
                    <o:lock v:ext="edit" aspectratio="f"/>
                    <v:shadow on="t" color="#000000" opacity="22937f" offset="0pt,1.81102362204724pt" origin="0f,32768f" matrix="65536f,0f,0f,65536f"/>
                  </v:shape>
                  <v:shape id="_x0000_s1026" o:spid="_x0000_s1026" o:spt="13" type="#_x0000_t13" style="position:absolute;left:9684;top:98273;height:193;width:252;rotation:11796480f;v-text-anchor:middle;" fillcolor="#2C5D98 [3216]" filled="t" stroked="f" coordsize="21600,21600" o:gfxdata="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cCtmq8AAAA&#10;2wAAAA8AAAAAAAAAAQAgAAAAIgAAAGRycy9kb3ducmV2LnhtbFBLAQIUABQAAAAIAIdO4kAzLwWe&#10;OwAAADkAAAAQAAAAAAAAAAEAIAAAAAsBAABkcnMvc2hhcGV4bWwueG1sUEsFBgAAAAAGAAYAWwEA&#10;ALUDAAAAAA==&#10;" adj="13329,5400">
                    <v:fill type="gradient" on="t" color2="#3A7CCB [3216]" colors="0f #2C5D98;52429f #3C7BC7;65536f #3A7CCB" angle="180" focus="100%" focussize="0,0" rotate="t">
                      <o:fill type="gradientUnscaled" v:ext="backwardCompatible"/>
                    </v:fill>
                    <v:stroke on="f"/>
                    <v:imagedata o:title=""/>
                    <o:lock v:ext="edit" aspectratio="f"/>
                    <v:shadow on="t" color="#000000" opacity="22937f" offset="0pt,1.81102362204724pt" origin="0f,32768f" matrix="65536f,0f,0f,65536f"/>
                  </v:shape>
                </v:group>
              </v:group>
            </w:pict>
          </mc:Fallback>
        </mc:AlternateConten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776769"/>
    <w:multiLevelType w:val="singleLevel"/>
    <w:tmpl w:val="8A776769"/>
    <w:lvl w:ilvl="0" w:tentative="0">
      <w:start w:val="1"/>
      <w:numFmt w:val="decimal"/>
      <w:suff w:val="space"/>
      <w:lvlText w:val="[%1]"/>
      <w:lvlJc w:val="left"/>
    </w:lvl>
  </w:abstractNum>
  <w:abstractNum w:abstractNumId="1">
    <w:nsid w:val="AB751951"/>
    <w:multiLevelType w:val="singleLevel"/>
    <w:tmpl w:val="AB751951"/>
    <w:lvl w:ilvl="0" w:tentative="0">
      <w:start w:val="1"/>
      <w:numFmt w:val="decimal"/>
      <w:lvlText w:val="[%1]"/>
      <w:lvlJc w:val="left"/>
      <w:pPr>
        <w:tabs>
          <w:tab w:val="left" w:pos="312"/>
        </w:tabs>
      </w:pPr>
    </w:lvl>
  </w:abstractNum>
  <w:abstractNum w:abstractNumId="2">
    <w:nsid w:val="AF79AA84"/>
    <w:multiLevelType w:val="singleLevel"/>
    <w:tmpl w:val="AF79AA84"/>
    <w:lvl w:ilvl="0" w:tentative="0">
      <w:start w:val="1"/>
      <w:numFmt w:val="decimal"/>
      <w:lvlText w:val="[%1]"/>
      <w:lvlJc w:val="left"/>
      <w:pPr>
        <w:tabs>
          <w:tab w:val="left" w:pos="312"/>
        </w:tabs>
      </w:pPr>
    </w:lvl>
  </w:abstractNum>
  <w:abstractNum w:abstractNumId="3">
    <w:nsid w:val="15F6402E"/>
    <w:multiLevelType w:val="multilevel"/>
    <w:tmpl w:val="15F6402E"/>
    <w:lvl w:ilvl="0" w:tentative="0">
      <w:start w:val="1"/>
      <w:numFmt w:val="japaneseCounting"/>
      <w:lvlText w:val="%1、"/>
      <w:lvlJc w:val="left"/>
      <w:pPr>
        <w:ind w:left="450" w:hanging="45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FE5"/>
    <w:rsid w:val="00006297"/>
    <w:rsid w:val="000137FB"/>
    <w:rsid w:val="00017A61"/>
    <w:rsid w:val="0003395D"/>
    <w:rsid w:val="000445A1"/>
    <w:rsid w:val="00077BBF"/>
    <w:rsid w:val="0009414D"/>
    <w:rsid w:val="000A7976"/>
    <w:rsid w:val="001053F9"/>
    <w:rsid w:val="001248A9"/>
    <w:rsid w:val="00125195"/>
    <w:rsid w:val="001420C4"/>
    <w:rsid w:val="00150F73"/>
    <w:rsid w:val="00151026"/>
    <w:rsid w:val="001A2FDB"/>
    <w:rsid w:val="001A3946"/>
    <w:rsid w:val="001B2B17"/>
    <w:rsid w:val="001C0315"/>
    <w:rsid w:val="0021009A"/>
    <w:rsid w:val="00213B04"/>
    <w:rsid w:val="00237701"/>
    <w:rsid w:val="002611FC"/>
    <w:rsid w:val="00263115"/>
    <w:rsid w:val="002738D3"/>
    <w:rsid w:val="0028051E"/>
    <w:rsid w:val="00294195"/>
    <w:rsid w:val="002B0ABA"/>
    <w:rsid w:val="002C23F7"/>
    <w:rsid w:val="002C3769"/>
    <w:rsid w:val="002E4E9D"/>
    <w:rsid w:val="002F2F6D"/>
    <w:rsid w:val="003031FB"/>
    <w:rsid w:val="003116F9"/>
    <w:rsid w:val="00314055"/>
    <w:rsid w:val="003632A4"/>
    <w:rsid w:val="0038058A"/>
    <w:rsid w:val="00382877"/>
    <w:rsid w:val="00387F81"/>
    <w:rsid w:val="0039657F"/>
    <w:rsid w:val="003A0232"/>
    <w:rsid w:val="003F5C4A"/>
    <w:rsid w:val="004066B3"/>
    <w:rsid w:val="0042088A"/>
    <w:rsid w:val="00420B74"/>
    <w:rsid w:val="00431BBA"/>
    <w:rsid w:val="00450D95"/>
    <w:rsid w:val="00464576"/>
    <w:rsid w:val="00467FA3"/>
    <w:rsid w:val="004754D0"/>
    <w:rsid w:val="00480A21"/>
    <w:rsid w:val="004A02DF"/>
    <w:rsid w:val="004A569D"/>
    <w:rsid w:val="004C501D"/>
    <w:rsid w:val="004D7ECD"/>
    <w:rsid w:val="004F4ACD"/>
    <w:rsid w:val="00501FBE"/>
    <w:rsid w:val="00503F11"/>
    <w:rsid w:val="00505FAE"/>
    <w:rsid w:val="005672BD"/>
    <w:rsid w:val="0059641B"/>
    <w:rsid w:val="00597C00"/>
    <w:rsid w:val="005E6F9E"/>
    <w:rsid w:val="005F1CF2"/>
    <w:rsid w:val="005F4AFF"/>
    <w:rsid w:val="00614A60"/>
    <w:rsid w:val="00620B37"/>
    <w:rsid w:val="0063004D"/>
    <w:rsid w:val="00657CC7"/>
    <w:rsid w:val="0066347B"/>
    <w:rsid w:val="0067472B"/>
    <w:rsid w:val="0069554B"/>
    <w:rsid w:val="006A0533"/>
    <w:rsid w:val="006A1EA5"/>
    <w:rsid w:val="006A569C"/>
    <w:rsid w:val="006B1B8D"/>
    <w:rsid w:val="006E7822"/>
    <w:rsid w:val="006F1858"/>
    <w:rsid w:val="00717582"/>
    <w:rsid w:val="0072481B"/>
    <w:rsid w:val="00740F0D"/>
    <w:rsid w:val="00743F06"/>
    <w:rsid w:val="00752EEC"/>
    <w:rsid w:val="0076658E"/>
    <w:rsid w:val="00793D8E"/>
    <w:rsid w:val="007A2C60"/>
    <w:rsid w:val="007A4B74"/>
    <w:rsid w:val="007C5B0F"/>
    <w:rsid w:val="007E54EB"/>
    <w:rsid w:val="007E6114"/>
    <w:rsid w:val="007E6917"/>
    <w:rsid w:val="00817819"/>
    <w:rsid w:val="00820A72"/>
    <w:rsid w:val="00840B66"/>
    <w:rsid w:val="0084710A"/>
    <w:rsid w:val="00877B7D"/>
    <w:rsid w:val="008A0F9F"/>
    <w:rsid w:val="008B12D6"/>
    <w:rsid w:val="008B35C1"/>
    <w:rsid w:val="008D2F67"/>
    <w:rsid w:val="008F5322"/>
    <w:rsid w:val="008F7AC3"/>
    <w:rsid w:val="009021F8"/>
    <w:rsid w:val="009258B1"/>
    <w:rsid w:val="00932CAE"/>
    <w:rsid w:val="009511FC"/>
    <w:rsid w:val="00953D91"/>
    <w:rsid w:val="00985E73"/>
    <w:rsid w:val="00986622"/>
    <w:rsid w:val="009E1C97"/>
    <w:rsid w:val="009E453E"/>
    <w:rsid w:val="009E6BD3"/>
    <w:rsid w:val="00A17D63"/>
    <w:rsid w:val="00A30FE5"/>
    <w:rsid w:val="00A33201"/>
    <w:rsid w:val="00A34B07"/>
    <w:rsid w:val="00A61B4E"/>
    <w:rsid w:val="00A64DA5"/>
    <w:rsid w:val="00A70EF7"/>
    <w:rsid w:val="00A75CDC"/>
    <w:rsid w:val="00A907EE"/>
    <w:rsid w:val="00AA08A8"/>
    <w:rsid w:val="00AB6A86"/>
    <w:rsid w:val="00AF7126"/>
    <w:rsid w:val="00B37949"/>
    <w:rsid w:val="00B452E7"/>
    <w:rsid w:val="00B50F44"/>
    <w:rsid w:val="00B672DA"/>
    <w:rsid w:val="00B747EC"/>
    <w:rsid w:val="00B81000"/>
    <w:rsid w:val="00B81C68"/>
    <w:rsid w:val="00B95481"/>
    <w:rsid w:val="00BB4337"/>
    <w:rsid w:val="00BD77CC"/>
    <w:rsid w:val="00BF436F"/>
    <w:rsid w:val="00BF65DB"/>
    <w:rsid w:val="00C06325"/>
    <w:rsid w:val="00C07B20"/>
    <w:rsid w:val="00C17777"/>
    <w:rsid w:val="00C357CD"/>
    <w:rsid w:val="00C41CA3"/>
    <w:rsid w:val="00C62151"/>
    <w:rsid w:val="00CA25B0"/>
    <w:rsid w:val="00CC0DC2"/>
    <w:rsid w:val="00CD692D"/>
    <w:rsid w:val="00CF708A"/>
    <w:rsid w:val="00D07A08"/>
    <w:rsid w:val="00D12A26"/>
    <w:rsid w:val="00D46569"/>
    <w:rsid w:val="00D47CD8"/>
    <w:rsid w:val="00D51559"/>
    <w:rsid w:val="00D52731"/>
    <w:rsid w:val="00D56C97"/>
    <w:rsid w:val="00D73950"/>
    <w:rsid w:val="00D7673B"/>
    <w:rsid w:val="00D85870"/>
    <w:rsid w:val="00DB1C71"/>
    <w:rsid w:val="00DC5201"/>
    <w:rsid w:val="00DD165A"/>
    <w:rsid w:val="00DD6B42"/>
    <w:rsid w:val="00DE3CBB"/>
    <w:rsid w:val="00DE68EE"/>
    <w:rsid w:val="00DF2F42"/>
    <w:rsid w:val="00E100BF"/>
    <w:rsid w:val="00E14102"/>
    <w:rsid w:val="00E2192E"/>
    <w:rsid w:val="00E41279"/>
    <w:rsid w:val="00E622EB"/>
    <w:rsid w:val="00E651F9"/>
    <w:rsid w:val="00E766C7"/>
    <w:rsid w:val="00E77557"/>
    <w:rsid w:val="00E86FA4"/>
    <w:rsid w:val="00EB41C1"/>
    <w:rsid w:val="00EE22D5"/>
    <w:rsid w:val="00F067BE"/>
    <w:rsid w:val="00F07C9F"/>
    <w:rsid w:val="00F1517F"/>
    <w:rsid w:val="00F25AFB"/>
    <w:rsid w:val="00F865A6"/>
    <w:rsid w:val="00FA1660"/>
    <w:rsid w:val="00FC33A0"/>
    <w:rsid w:val="00FD79D1"/>
    <w:rsid w:val="06BE300B"/>
    <w:rsid w:val="0C54262E"/>
    <w:rsid w:val="0FFF33EB"/>
    <w:rsid w:val="1F2A6F27"/>
    <w:rsid w:val="22082CB2"/>
    <w:rsid w:val="23F478AB"/>
    <w:rsid w:val="262C73EF"/>
    <w:rsid w:val="2D1F5175"/>
    <w:rsid w:val="31C3405A"/>
    <w:rsid w:val="3CF0718D"/>
    <w:rsid w:val="424147A2"/>
    <w:rsid w:val="48D74D09"/>
    <w:rsid w:val="4ADE591E"/>
    <w:rsid w:val="4F1A18F3"/>
    <w:rsid w:val="4F8F5DFA"/>
    <w:rsid w:val="59480145"/>
    <w:rsid w:val="5D7426E0"/>
    <w:rsid w:val="6D922B7E"/>
    <w:rsid w:val="71F672D9"/>
    <w:rsid w:val="734C2097"/>
    <w:rsid w:val="759B2A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semiHidden/>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Emphasis"/>
    <w:basedOn w:val="7"/>
    <w:qFormat/>
    <w:uiPriority w:val="20"/>
    <w:rPr>
      <w:color w:val="CC0000"/>
    </w:rPr>
  </w:style>
  <w:style w:type="character" w:styleId="9">
    <w:name w:val="Hyperlink"/>
    <w:basedOn w:val="7"/>
    <w:qFormat/>
    <w:uiPriority w:val="0"/>
    <w:rPr>
      <w:color w:val="0000FF"/>
      <w:u w:val="single"/>
    </w:rPr>
  </w:style>
  <w:style w:type="character" w:customStyle="1" w:styleId="10">
    <w:name w:val="页眉 Char"/>
    <w:basedOn w:val="7"/>
    <w:link w:val="4"/>
    <w:qFormat/>
    <w:uiPriority w:val="99"/>
    <w:rPr>
      <w:sz w:val="18"/>
      <w:szCs w:val="18"/>
    </w:rPr>
  </w:style>
  <w:style w:type="character" w:customStyle="1" w:styleId="11">
    <w:name w:val="页脚 Char"/>
    <w:basedOn w:val="7"/>
    <w:link w:val="3"/>
    <w:qFormat/>
    <w:uiPriority w:val="99"/>
    <w:rPr>
      <w:sz w:val="18"/>
      <w:szCs w:val="18"/>
    </w:rPr>
  </w:style>
  <w:style w:type="paragraph" w:customStyle="1" w:styleId="12">
    <w:name w:val="Char"/>
    <w:basedOn w:val="1"/>
    <w:qFormat/>
    <w:uiPriority w:val="0"/>
    <w:pPr>
      <w:tabs>
        <w:tab w:val="left" w:pos="600"/>
      </w:tabs>
      <w:ind w:left="600" w:hanging="600"/>
    </w:pPr>
    <w:rPr>
      <w:rFonts w:ascii="Times New Roman" w:hAnsi="Times New Roman" w:eastAsia="宋体" w:cs="Times New Roman"/>
      <w:sz w:val="24"/>
      <w:szCs w:val="24"/>
    </w:rPr>
  </w:style>
  <w:style w:type="paragraph" w:customStyle="1" w:styleId="13">
    <w:name w:val="Char1"/>
    <w:basedOn w:val="1"/>
    <w:qFormat/>
    <w:uiPriority w:val="0"/>
    <w:pPr>
      <w:tabs>
        <w:tab w:val="left" w:pos="600"/>
      </w:tabs>
      <w:ind w:left="600" w:hanging="600"/>
    </w:pPr>
    <w:rPr>
      <w:rFonts w:ascii="Times New Roman" w:hAnsi="Times New Roman" w:eastAsia="宋体" w:cs="Times New Roman"/>
      <w:sz w:val="24"/>
      <w:szCs w:val="24"/>
    </w:rPr>
  </w:style>
  <w:style w:type="character" w:customStyle="1" w:styleId="14">
    <w:name w:val="fontstyle01"/>
    <w:basedOn w:val="7"/>
    <w:qFormat/>
    <w:uiPriority w:val="0"/>
    <w:rPr>
      <w:rFonts w:hint="eastAsia" w:ascii="宋体" w:hAnsi="宋体" w:eastAsia="宋体"/>
      <w:color w:val="000000"/>
      <w:sz w:val="22"/>
      <w:szCs w:val="22"/>
    </w:rPr>
  </w:style>
  <w:style w:type="character" w:customStyle="1" w:styleId="15">
    <w:name w:val="批注框文本 Char"/>
    <w:basedOn w:val="7"/>
    <w:link w:val="2"/>
    <w:semiHidden/>
    <w:qFormat/>
    <w:uiPriority w:val="99"/>
    <w:rPr>
      <w:sz w:val="18"/>
      <w:szCs w:val="18"/>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6163</Words>
  <Characters>8827</Characters>
  <Lines>54</Lines>
  <Paragraphs>15</Paragraphs>
  <TotalTime>72</TotalTime>
  <ScaleCrop>false</ScaleCrop>
  <LinksUpToDate>false</LinksUpToDate>
  <CharactersWithSpaces>9268</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2020-06-01T06:29:00Z</dcterms:created>
  <dc:creator>范燕</dc:creator>
  <cp:lastModifiedBy>Luyu</cp:lastModifiedBy>
  <dcterms:modified xsi:type="dcterms:W3CDTF">2021-12-24T05:49:42Z</dcterms:modified>
  <cp:revision>378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CFB20F36F1DA4ED48DEB10BE5E3BD52C</vt:lpwstr>
  </property>
</Properties>
</file>